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C0" w:rsidRDefault="001F41C0" w:rsidP="001F41C0">
      <w:pPr>
        <w:ind w:firstLine="0"/>
        <w:rPr>
          <w:szCs w:val="24"/>
        </w:rPr>
      </w:pPr>
    </w:p>
    <w:p w:rsidR="001F41C0" w:rsidRDefault="001F41C0" w:rsidP="001F41C0">
      <w:pPr>
        <w:ind w:left="5103" w:firstLine="0"/>
        <w:rPr>
          <w:b/>
        </w:rPr>
      </w:pPr>
    </w:p>
    <w:p w:rsidR="001F41C0" w:rsidRDefault="001F41C0" w:rsidP="001F41C0">
      <w:pPr>
        <w:ind w:left="5103" w:firstLine="0"/>
        <w:rPr>
          <w:b/>
        </w:rPr>
      </w:pPr>
    </w:p>
    <w:tbl>
      <w:tblPr>
        <w:tblW w:w="9781" w:type="dxa"/>
        <w:tblInd w:w="108" w:type="dxa"/>
        <w:tblLayout w:type="fixed"/>
        <w:tblLook w:val="0000"/>
      </w:tblPr>
      <w:tblGrid>
        <w:gridCol w:w="4678"/>
        <w:gridCol w:w="5103"/>
      </w:tblGrid>
      <w:tr w:rsidR="001F41C0" w:rsidRPr="004E18FB" w:rsidTr="00B82226">
        <w:tc>
          <w:tcPr>
            <w:tcW w:w="4678" w:type="dxa"/>
          </w:tcPr>
          <w:p w:rsidR="001F41C0" w:rsidRPr="004E18FB" w:rsidRDefault="001F41C0" w:rsidP="00B82226">
            <w:pPr>
              <w:tabs>
                <w:tab w:val="left" w:pos="5040"/>
              </w:tabs>
              <w:ind w:firstLine="0"/>
              <w:rPr>
                <w:b/>
                <w:szCs w:val="24"/>
              </w:rPr>
            </w:pPr>
          </w:p>
        </w:tc>
        <w:tc>
          <w:tcPr>
            <w:tcW w:w="5103" w:type="dxa"/>
          </w:tcPr>
          <w:p w:rsidR="001F41C0" w:rsidRPr="00F30C1F" w:rsidRDefault="001F41C0" w:rsidP="00B82226">
            <w:pPr>
              <w:ind w:left="-1384" w:firstLine="0"/>
              <w:jc w:val="right"/>
              <w:rPr>
                <w:b/>
                <w:szCs w:val="24"/>
              </w:rPr>
            </w:pPr>
          </w:p>
        </w:tc>
      </w:tr>
    </w:tbl>
    <w:p w:rsidR="001F41C0" w:rsidRDefault="001F41C0" w:rsidP="001F41C0">
      <w:pPr>
        <w:pStyle w:val="ae"/>
        <w:rPr>
          <w:sz w:val="36"/>
        </w:rPr>
      </w:pPr>
    </w:p>
    <w:p w:rsidR="001F41C0" w:rsidRDefault="001F41C0" w:rsidP="001F41C0">
      <w:pPr>
        <w:pStyle w:val="ae"/>
        <w:rPr>
          <w:sz w:val="36"/>
        </w:rPr>
      </w:pPr>
    </w:p>
    <w:p w:rsidR="001F41C0" w:rsidRDefault="001F41C0" w:rsidP="001F41C0">
      <w:pPr>
        <w:pStyle w:val="ae"/>
        <w:rPr>
          <w:sz w:val="36"/>
        </w:rPr>
      </w:pPr>
    </w:p>
    <w:p w:rsidR="001F41C0" w:rsidRDefault="001F41C0" w:rsidP="001F41C0">
      <w:pPr>
        <w:pStyle w:val="ae"/>
        <w:rPr>
          <w:sz w:val="36"/>
        </w:rPr>
      </w:pPr>
    </w:p>
    <w:p w:rsidR="001F41C0" w:rsidRDefault="001F41C0" w:rsidP="001F41C0">
      <w:pPr>
        <w:pStyle w:val="ae"/>
        <w:rPr>
          <w:sz w:val="36"/>
        </w:rPr>
      </w:pPr>
    </w:p>
    <w:p w:rsidR="001F41C0" w:rsidRDefault="001F41C0" w:rsidP="001F41C0">
      <w:pPr>
        <w:pStyle w:val="ae"/>
        <w:rPr>
          <w:sz w:val="36"/>
        </w:rPr>
      </w:pPr>
    </w:p>
    <w:p w:rsidR="001F41C0" w:rsidRDefault="001F41C0" w:rsidP="001F41C0">
      <w:pPr>
        <w:pStyle w:val="ae"/>
        <w:jc w:val="center"/>
        <w:rPr>
          <w:bCs/>
          <w:sz w:val="32"/>
          <w:szCs w:val="32"/>
        </w:rPr>
      </w:pPr>
      <w:r>
        <w:rPr>
          <w:bCs/>
          <w:sz w:val="32"/>
          <w:szCs w:val="32"/>
        </w:rPr>
        <w:t>Отчет по исследованию рынка жилой недвижимости г. Тюмени</w:t>
      </w:r>
    </w:p>
    <w:p w:rsidR="001F41C0" w:rsidRDefault="001F41C0" w:rsidP="001F41C0">
      <w:pPr>
        <w:pStyle w:val="ae"/>
        <w:jc w:val="center"/>
        <w:rPr>
          <w:b/>
        </w:rPr>
      </w:pPr>
    </w:p>
    <w:p w:rsidR="001F41C0" w:rsidRDefault="001F41C0" w:rsidP="001F41C0">
      <w:pPr>
        <w:pStyle w:val="ae"/>
        <w:jc w:val="right"/>
        <w:rPr>
          <w:b/>
        </w:rPr>
      </w:pPr>
    </w:p>
    <w:tbl>
      <w:tblPr>
        <w:tblW w:w="0" w:type="auto"/>
        <w:tblInd w:w="108" w:type="dxa"/>
        <w:tblLayout w:type="fixed"/>
        <w:tblLook w:val="0000"/>
      </w:tblPr>
      <w:tblGrid>
        <w:gridCol w:w="9900"/>
      </w:tblGrid>
      <w:tr w:rsidR="001F41C0" w:rsidTr="00B82226">
        <w:trPr>
          <w:trHeight w:val="1260"/>
        </w:trPr>
        <w:tc>
          <w:tcPr>
            <w:tcW w:w="9900" w:type="dxa"/>
          </w:tcPr>
          <w:p w:rsidR="001F41C0" w:rsidRPr="004E1C7E" w:rsidRDefault="001F41C0" w:rsidP="00B82226">
            <w:pPr>
              <w:jc w:val="right"/>
              <w:rPr>
                <w:b/>
              </w:rPr>
            </w:pPr>
            <w:r w:rsidRPr="004E1C7E">
              <w:rPr>
                <w:b/>
              </w:rPr>
              <w:t>Заказчик:</w:t>
            </w:r>
          </w:p>
          <w:p w:rsidR="001F41C0" w:rsidRDefault="001F41C0" w:rsidP="00B82226">
            <w:pPr>
              <w:pStyle w:val="ae"/>
              <w:ind w:firstLine="0"/>
              <w:jc w:val="right"/>
            </w:pPr>
            <w:r>
              <w:t xml:space="preserve">. </w:t>
            </w:r>
          </w:p>
          <w:p w:rsidR="001F41C0" w:rsidRPr="004E1C7E" w:rsidRDefault="001F41C0" w:rsidP="00B82226">
            <w:pPr>
              <w:pStyle w:val="ae"/>
              <w:ind w:firstLine="0"/>
              <w:jc w:val="right"/>
            </w:pPr>
          </w:p>
        </w:tc>
      </w:tr>
      <w:tr w:rsidR="001F41C0" w:rsidTr="00B82226">
        <w:tc>
          <w:tcPr>
            <w:tcW w:w="9900" w:type="dxa"/>
          </w:tcPr>
          <w:p w:rsidR="001F41C0" w:rsidRDefault="001F41C0" w:rsidP="00B82226">
            <w:pPr>
              <w:jc w:val="right"/>
              <w:rPr>
                <w:b/>
              </w:rPr>
            </w:pPr>
            <w:r>
              <w:rPr>
                <w:b/>
              </w:rPr>
              <w:t>Исполнитель</w:t>
            </w:r>
            <w:r w:rsidRPr="00F53C1E">
              <w:rPr>
                <w:b/>
              </w:rPr>
              <w:t>:</w:t>
            </w:r>
          </w:p>
          <w:p w:rsidR="001F41C0" w:rsidRDefault="005524A0" w:rsidP="00B82226">
            <w:pPr>
              <w:pStyle w:val="ae"/>
              <w:ind w:firstLine="0"/>
              <w:jc w:val="right"/>
              <w:rPr>
                <w:b/>
              </w:rPr>
            </w:pPr>
            <w:r>
              <w:rPr>
                <w:b/>
              </w:rPr>
              <w:t>Трошина В.М., САРН</w:t>
            </w:r>
          </w:p>
        </w:tc>
      </w:tr>
      <w:tr w:rsidR="001F41C0" w:rsidTr="00B82226">
        <w:tc>
          <w:tcPr>
            <w:tcW w:w="9900" w:type="dxa"/>
          </w:tcPr>
          <w:p w:rsidR="001F41C0" w:rsidRDefault="001F41C0" w:rsidP="00B82226">
            <w:pPr>
              <w:jc w:val="right"/>
              <w:rPr>
                <w:b/>
              </w:rPr>
            </w:pPr>
          </w:p>
          <w:p w:rsidR="001F41C0" w:rsidRDefault="001F41C0" w:rsidP="00B82226">
            <w:pPr>
              <w:jc w:val="right"/>
              <w:rPr>
                <w:b/>
              </w:rPr>
            </w:pPr>
          </w:p>
          <w:p w:rsidR="001F41C0" w:rsidRDefault="001F41C0" w:rsidP="00B82226">
            <w:pPr>
              <w:jc w:val="right"/>
              <w:rPr>
                <w:b/>
              </w:rPr>
            </w:pPr>
          </w:p>
          <w:p w:rsidR="001F41C0" w:rsidRPr="003D7166" w:rsidRDefault="001F41C0" w:rsidP="00B82226">
            <w:pPr>
              <w:jc w:val="right"/>
              <w:rPr>
                <w:b/>
              </w:rPr>
            </w:pPr>
            <w:r w:rsidRPr="00235B8F">
              <w:t>Дата составления:</w:t>
            </w:r>
            <w:r w:rsidRPr="00BE52A9">
              <w:rPr>
                <w:b/>
              </w:rPr>
              <w:t xml:space="preserve"> </w:t>
            </w:r>
            <w:r>
              <w:rPr>
                <w:b/>
              </w:rPr>
              <w:t>15</w:t>
            </w:r>
            <w:r w:rsidRPr="00235B8F">
              <w:rPr>
                <w:b/>
              </w:rPr>
              <w:t>.</w:t>
            </w:r>
            <w:r>
              <w:rPr>
                <w:b/>
              </w:rPr>
              <w:t>10</w:t>
            </w:r>
            <w:r w:rsidRPr="00235B8F">
              <w:rPr>
                <w:b/>
              </w:rPr>
              <w:t>.2012 г.</w:t>
            </w:r>
            <w:r w:rsidRPr="00BE52A9">
              <w:rPr>
                <w:b/>
              </w:rPr>
              <w:t xml:space="preserve"> </w:t>
            </w:r>
          </w:p>
        </w:tc>
      </w:tr>
    </w:tbl>
    <w:p w:rsidR="001F41C0" w:rsidRDefault="001F41C0">
      <w:pPr>
        <w:spacing w:after="200" w:line="276" w:lineRule="auto"/>
        <w:ind w:firstLine="0"/>
        <w:jc w:val="left"/>
        <w:rPr>
          <w:szCs w:val="24"/>
        </w:rPr>
      </w:pPr>
    </w:p>
    <w:p w:rsidR="001F41C0" w:rsidRDefault="001F41C0">
      <w:pPr>
        <w:spacing w:after="200" w:line="276" w:lineRule="auto"/>
        <w:ind w:firstLine="0"/>
        <w:jc w:val="left"/>
        <w:rPr>
          <w:szCs w:val="24"/>
        </w:rPr>
      </w:pPr>
      <w:r>
        <w:rPr>
          <w:szCs w:val="24"/>
        </w:rPr>
        <w:br w:type="page"/>
      </w:r>
    </w:p>
    <w:p w:rsidR="001F41C0" w:rsidRDefault="001F41C0" w:rsidP="001F41C0"/>
    <w:p w:rsidR="001F41C0" w:rsidRPr="001F41C0" w:rsidRDefault="001F41C0" w:rsidP="001F41C0">
      <w:pPr>
        <w:jc w:val="center"/>
        <w:rPr>
          <w:b/>
        </w:rPr>
      </w:pPr>
      <w:r w:rsidRPr="001F41C0">
        <w:rPr>
          <w:b/>
        </w:rPr>
        <w:t>ОГЛАВЛЕНИЕ</w:t>
      </w:r>
    </w:p>
    <w:p w:rsidR="001F41C0" w:rsidRPr="001F41C0" w:rsidRDefault="001F41C0" w:rsidP="001F41C0"/>
    <w:p w:rsidR="00993D0A" w:rsidRDefault="009D4B3A" w:rsidP="00993D0A">
      <w:pPr>
        <w:pStyle w:val="11"/>
        <w:tabs>
          <w:tab w:val="right" w:leader="dot" w:pos="9911"/>
        </w:tabs>
        <w:ind w:firstLine="0"/>
        <w:rPr>
          <w:rFonts w:asciiTheme="minorHAnsi" w:eastAsiaTheme="minorEastAsia" w:hAnsiTheme="minorHAnsi"/>
          <w:noProof/>
          <w:sz w:val="22"/>
          <w:lang w:eastAsia="ru-RU"/>
        </w:rPr>
      </w:pPr>
      <w:r>
        <w:rPr>
          <w:szCs w:val="24"/>
        </w:rPr>
        <w:fldChar w:fldCharType="begin"/>
      </w:r>
      <w:r w:rsidR="00A40A3C">
        <w:rPr>
          <w:szCs w:val="24"/>
        </w:rPr>
        <w:instrText xml:space="preserve"> TOC \o "1-3" \h \z \u </w:instrText>
      </w:r>
      <w:r>
        <w:rPr>
          <w:szCs w:val="24"/>
        </w:rPr>
        <w:fldChar w:fldCharType="separate"/>
      </w:r>
      <w:hyperlink w:anchor="_Toc351452798" w:history="1">
        <w:r w:rsidR="00993D0A" w:rsidRPr="00E97C69">
          <w:rPr>
            <w:rStyle w:val="ad"/>
            <w:noProof/>
          </w:rPr>
          <w:t>1. Обзор цен предложения на первичном рынке жилой недвижимости г. Тюмени</w:t>
        </w:r>
        <w:r w:rsidR="00993D0A">
          <w:rPr>
            <w:noProof/>
            <w:webHidden/>
          </w:rPr>
          <w:tab/>
        </w:r>
        <w:r w:rsidR="00993D0A">
          <w:rPr>
            <w:noProof/>
            <w:webHidden/>
          </w:rPr>
          <w:fldChar w:fldCharType="begin"/>
        </w:r>
        <w:r w:rsidR="00993D0A">
          <w:rPr>
            <w:noProof/>
            <w:webHidden/>
          </w:rPr>
          <w:instrText xml:space="preserve"> PAGEREF _Toc351452798 \h </w:instrText>
        </w:r>
        <w:r w:rsidR="00993D0A">
          <w:rPr>
            <w:noProof/>
            <w:webHidden/>
          </w:rPr>
        </w:r>
        <w:r w:rsidR="00993D0A">
          <w:rPr>
            <w:noProof/>
            <w:webHidden/>
          </w:rPr>
          <w:fldChar w:fldCharType="separate"/>
        </w:r>
        <w:r w:rsidR="00993D0A">
          <w:rPr>
            <w:noProof/>
            <w:webHidden/>
          </w:rPr>
          <w:t>3</w:t>
        </w:r>
        <w:r w:rsidR="00993D0A">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799" w:history="1">
        <w:r w:rsidRPr="00E97C69">
          <w:rPr>
            <w:rStyle w:val="ad"/>
            <w:noProof/>
          </w:rPr>
          <w:t>1.1. Обзор цен на первичном рынке жилой недвижимости по городу в целом</w:t>
        </w:r>
        <w:r>
          <w:rPr>
            <w:noProof/>
            <w:webHidden/>
          </w:rPr>
          <w:tab/>
        </w:r>
        <w:r>
          <w:rPr>
            <w:noProof/>
            <w:webHidden/>
          </w:rPr>
          <w:fldChar w:fldCharType="begin"/>
        </w:r>
        <w:r>
          <w:rPr>
            <w:noProof/>
            <w:webHidden/>
          </w:rPr>
          <w:instrText xml:space="preserve"> PAGEREF _Toc351452799 \h </w:instrText>
        </w:r>
        <w:r>
          <w:rPr>
            <w:noProof/>
            <w:webHidden/>
          </w:rPr>
        </w:r>
        <w:r>
          <w:rPr>
            <w:noProof/>
            <w:webHidden/>
          </w:rPr>
          <w:fldChar w:fldCharType="separate"/>
        </w:r>
        <w:r>
          <w:rPr>
            <w:noProof/>
            <w:webHidden/>
          </w:rPr>
          <w:t>3</w:t>
        </w:r>
        <w:r>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800" w:history="1">
        <w:r w:rsidRPr="00E97C69">
          <w:rPr>
            <w:rStyle w:val="ad"/>
            <w:noProof/>
          </w:rPr>
          <w:t>1.2. Обзор цен жилых новостроек в зависимости от класса жилья</w:t>
        </w:r>
        <w:r>
          <w:rPr>
            <w:noProof/>
            <w:webHidden/>
          </w:rPr>
          <w:tab/>
        </w:r>
        <w:r>
          <w:rPr>
            <w:noProof/>
            <w:webHidden/>
          </w:rPr>
          <w:fldChar w:fldCharType="begin"/>
        </w:r>
        <w:r>
          <w:rPr>
            <w:noProof/>
            <w:webHidden/>
          </w:rPr>
          <w:instrText xml:space="preserve"> PAGEREF _Toc351452800 \h </w:instrText>
        </w:r>
        <w:r>
          <w:rPr>
            <w:noProof/>
            <w:webHidden/>
          </w:rPr>
        </w:r>
        <w:r>
          <w:rPr>
            <w:noProof/>
            <w:webHidden/>
          </w:rPr>
          <w:fldChar w:fldCharType="separate"/>
        </w:r>
        <w:r>
          <w:rPr>
            <w:noProof/>
            <w:webHidden/>
          </w:rPr>
          <w:t>4</w:t>
        </w:r>
        <w:r>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801" w:history="1">
        <w:r w:rsidRPr="00E97C69">
          <w:rPr>
            <w:rStyle w:val="ad"/>
            <w:noProof/>
          </w:rPr>
          <w:t>1.3. Зависимость средней цены от срока сдачи объекта</w:t>
        </w:r>
        <w:r>
          <w:rPr>
            <w:noProof/>
            <w:webHidden/>
          </w:rPr>
          <w:tab/>
        </w:r>
        <w:r>
          <w:rPr>
            <w:noProof/>
            <w:webHidden/>
          </w:rPr>
          <w:fldChar w:fldCharType="begin"/>
        </w:r>
        <w:r>
          <w:rPr>
            <w:noProof/>
            <w:webHidden/>
          </w:rPr>
          <w:instrText xml:space="preserve"> PAGEREF _Toc351452801 \h </w:instrText>
        </w:r>
        <w:r>
          <w:rPr>
            <w:noProof/>
            <w:webHidden/>
          </w:rPr>
        </w:r>
        <w:r>
          <w:rPr>
            <w:noProof/>
            <w:webHidden/>
          </w:rPr>
          <w:fldChar w:fldCharType="separate"/>
        </w:r>
        <w:r>
          <w:rPr>
            <w:noProof/>
            <w:webHidden/>
          </w:rPr>
          <w:t>5</w:t>
        </w:r>
        <w:r>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802" w:history="1">
        <w:r w:rsidRPr="00E97C69">
          <w:rPr>
            <w:rStyle w:val="ad"/>
            <w:noProof/>
          </w:rPr>
          <w:t>1.4. Распределение объемов строительства по районам города</w:t>
        </w:r>
        <w:r>
          <w:rPr>
            <w:noProof/>
            <w:webHidden/>
          </w:rPr>
          <w:tab/>
        </w:r>
        <w:r>
          <w:rPr>
            <w:noProof/>
            <w:webHidden/>
          </w:rPr>
          <w:fldChar w:fldCharType="begin"/>
        </w:r>
        <w:r>
          <w:rPr>
            <w:noProof/>
            <w:webHidden/>
          </w:rPr>
          <w:instrText xml:space="preserve"> PAGEREF _Toc351452802 \h </w:instrText>
        </w:r>
        <w:r>
          <w:rPr>
            <w:noProof/>
            <w:webHidden/>
          </w:rPr>
        </w:r>
        <w:r>
          <w:rPr>
            <w:noProof/>
            <w:webHidden/>
          </w:rPr>
          <w:fldChar w:fldCharType="separate"/>
        </w:r>
        <w:r>
          <w:rPr>
            <w:noProof/>
            <w:webHidden/>
          </w:rPr>
          <w:t>6</w:t>
        </w:r>
        <w:r>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803" w:history="1">
        <w:r w:rsidRPr="00E97C69">
          <w:rPr>
            <w:rStyle w:val="ad"/>
            <w:noProof/>
          </w:rPr>
          <w:t>1.5. Обзор цен предложения на первичном рынке недвижимости в Восточном и Тюменском микрорайонах</w:t>
        </w:r>
        <w:r>
          <w:rPr>
            <w:noProof/>
            <w:webHidden/>
          </w:rPr>
          <w:tab/>
        </w:r>
        <w:r>
          <w:rPr>
            <w:noProof/>
            <w:webHidden/>
          </w:rPr>
          <w:fldChar w:fldCharType="begin"/>
        </w:r>
        <w:r>
          <w:rPr>
            <w:noProof/>
            <w:webHidden/>
          </w:rPr>
          <w:instrText xml:space="preserve"> PAGEREF _Toc351452803 \h </w:instrText>
        </w:r>
        <w:r>
          <w:rPr>
            <w:noProof/>
            <w:webHidden/>
          </w:rPr>
        </w:r>
        <w:r>
          <w:rPr>
            <w:noProof/>
            <w:webHidden/>
          </w:rPr>
          <w:fldChar w:fldCharType="separate"/>
        </w:r>
        <w:r>
          <w:rPr>
            <w:noProof/>
            <w:webHidden/>
          </w:rPr>
          <w:t>7</w:t>
        </w:r>
        <w:r>
          <w:rPr>
            <w:noProof/>
            <w:webHidden/>
          </w:rPr>
          <w:fldChar w:fldCharType="end"/>
        </w:r>
      </w:hyperlink>
    </w:p>
    <w:p w:rsidR="00993D0A" w:rsidRDefault="00993D0A" w:rsidP="00993D0A">
      <w:pPr>
        <w:pStyle w:val="11"/>
        <w:tabs>
          <w:tab w:val="right" w:leader="dot" w:pos="9911"/>
        </w:tabs>
        <w:ind w:firstLine="0"/>
        <w:rPr>
          <w:rFonts w:asciiTheme="minorHAnsi" w:eastAsiaTheme="minorEastAsia" w:hAnsiTheme="minorHAnsi"/>
          <w:noProof/>
          <w:sz w:val="22"/>
          <w:lang w:eastAsia="ru-RU"/>
        </w:rPr>
      </w:pPr>
      <w:hyperlink w:anchor="_Toc351452804" w:history="1">
        <w:r w:rsidRPr="00E97C69">
          <w:rPr>
            <w:rStyle w:val="ad"/>
            <w:noProof/>
          </w:rPr>
          <w:t>2. Обзор цен предложения на первичном рынке нежилых помещений в Восточном и Тюменском микрорайонах</w:t>
        </w:r>
        <w:r>
          <w:rPr>
            <w:noProof/>
            <w:webHidden/>
          </w:rPr>
          <w:tab/>
        </w:r>
        <w:r>
          <w:rPr>
            <w:noProof/>
            <w:webHidden/>
          </w:rPr>
          <w:fldChar w:fldCharType="begin"/>
        </w:r>
        <w:r>
          <w:rPr>
            <w:noProof/>
            <w:webHidden/>
          </w:rPr>
          <w:instrText xml:space="preserve"> PAGEREF _Toc351452804 \h </w:instrText>
        </w:r>
        <w:r>
          <w:rPr>
            <w:noProof/>
            <w:webHidden/>
          </w:rPr>
        </w:r>
        <w:r>
          <w:rPr>
            <w:noProof/>
            <w:webHidden/>
          </w:rPr>
          <w:fldChar w:fldCharType="separate"/>
        </w:r>
        <w:r>
          <w:rPr>
            <w:noProof/>
            <w:webHidden/>
          </w:rPr>
          <w:t>9</w:t>
        </w:r>
        <w:r>
          <w:rPr>
            <w:noProof/>
            <w:webHidden/>
          </w:rPr>
          <w:fldChar w:fldCharType="end"/>
        </w:r>
      </w:hyperlink>
    </w:p>
    <w:p w:rsidR="00993D0A" w:rsidRDefault="00993D0A" w:rsidP="00993D0A">
      <w:pPr>
        <w:pStyle w:val="11"/>
        <w:tabs>
          <w:tab w:val="right" w:leader="dot" w:pos="9911"/>
        </w:tabs>
        <w:ind w:firstLine="0"/>
        <w:rPr>
          <w:rFonts w:asciiTheme="minorHAnsi" w:eastAsiaTheme="minorEastAsia" w:hAnsiTheme="minorHAnsi"/>
          <w:noProof/>
          <w:sz w:val="22"/>
          <w:lang w:eastAsia="ru-RU"/>
        </w:rPr>
      </w:pPr>
      <w:hyperlink w:anchor="_Toc351452805" w:history="1">
        <w:r w:rsidRPr="00E97C69">
          <w:rPr>
            <w:rStyle w:val="ad"/>
            <w:noProof/>
            <w:shd w:val="clear" w:color="auto" w:fill="FFFFFF"/>
          </w:rPr>
          <w:t>3. Прогноз развития социально-экономических показателей и рынка недвижимости</w:t>
        </w:r>
        <w:r>
          <w:rPr>
            <w:noProof/>
            <w:webHidden/>
          </w:rPr>
          <w:tab/>
        </w:r>
        <w:r>
          <w:rPr>
            <w:noProof/>
            <w:webHidden/>
          </w:rPr>
          <w:fldChar w:fldCharType="begin"/>
        </w:r>
        <w:r>
          <w:rPr>
            <w:noProof/>
            <w:webHidden/>
          </w:rPr>
          <w:instrText xml:space="preserve"> PAGEREF _Toc351452805 \h </w:instrText>
        </w:r>
        <w:r>
          <w:rPr>
            <w:noProof/>
            <w:webHidden/>
          </w:rPr>
        </w:r>
        <w:r>
          <w:rPr>
            <w:noProof/>
            <w:webHidden/>
          </w:rPr>
          <w:fldChar w:fldCharType="separate"/>
        </w:r>
        <w:r>
          <w:rPr>
            <w:noProof/>
            <w:webHidden/>
          </w:rPr>
          <w:t>10</w:t>
        </w:r>
        <w:r>
          <w:rPr>
            <w:noProof/>
            <w:webHidden/>
          </w:rPr>
          <w:fldChar w:fldCharType="end"/>
        </w:r>
      </w:hyperlink>
    </w:p>
    <w:p w:rsidR="00993D0A" w:rsidRDefault="00993D0A" w:rsidP="00993D0A">
      <w:pPr>
        <w:pStyle w:val="21"/>
        <w:tabs>
          <w:tab w:val="right" w:leader="dot" w:pos="9911"/>
        </w:tabs>
        <w:ind w:left="0" w:firstLine="0"/>
        <w:rPr>
          <w:rFonts w:asciiTheme="minorHAnsi" w:eastAsiaTheme="minorEastAsia" w:hAnsiTheme="minorHAnsi"/>
          <w:noProof/>
          <w:sz w:val="22"/>
          <w:lang w:eastAsia="ru-RU"/>
        </w:rPr>
      </w:pPr>
      <w:hyperlink w:anchor="_Toc351452806" w:history="1">
        <w:r w:rsidRPr="00E97C69">
          <w:rPr>
            <w:rStyle w:val="ad"/>
            <w:noProof/>
            <w:shd w:val="clear" w:color="auto" w:fill="FFFFFF"/>
          </w:rPr>
          <w:t>3.1. Прогноз развития мировой и российской экономики, возможное влияние кризисных явлений</w:t>
        </w:r>
        <w:r>
          <w:rPr>
            <w:noProof/>
            <w:webHidden/>
          </w:rPr>
          <w:tab/>
        </w:r>
        <w:r>
          <w:rPr>
            <w:noProof/>
            <w:webHidden/>
          </w:rPr>
          <w:fldChar w:fldCharType="begin"/>
        </w:r>
        <w:r>
          <w:rPr>
            <w:noProof/>
            <w:webHidden/>
          </w:rPr>
          <w:instrText xml:space="preserve"> PAGEREF _Toc351452806 \h </w:instrText>
        </w:r>
        <w:r>
          <w:rPr>
            <w:noProof/>
            <w:webHidden/>
          </w:rPr>
        </w:r>
        <w:r>
          <w:rPr>
            <w:noProof/>
            <w:webHidden/>
          </w:rPr>
          <w:fldChar w:fldCharType="separate"/>
        </w:r>
        <w:r>
          <w:rPr>
            <w:noProof/>
            <w:webHidden/>
          </w:rPr>
          <w:t>10</w:t>
        </w:r>
        <w:r>
          <w:rPr>
            <w:noProof/>
            <w:webHidden/>
          </w:rPr>
          <w:fldChar w:fldCharType="end"/>
        </w:r>
      </w:hyperlink>
    </w:p>
    <w:p w:rsidR="00993D0A" w:rsidRDefault="00993D0A" w:rsidP="00993D0A">
      <w:pPr>
        <w:pStyle w:val="11"/>
        <w:tabs>
          <w:tab w:val="right" w:leader="dot" w:pos="9911"/>
        </w:tabs>
        <w:ind w:firstLine="0"/>
        <w:rPr>
          <w:rFonts w:asciiTheme="minorHAnsi" w:eastAsiaTheme="minorEastAsia" w:hAnsiTheme="minorHAnsi"/>
          <w:noProof/>
          <w:sz w:val="22"/>
          <w:lang w:eastAsia="ru-RU"/>
        </w:rPr>
      </w:pPr>
      <w:hyperlink w:anchor="_Toc351452807" w:history="1">
        <w:r w:rsidRPr="00E97C69">
          <w:rPr>
            <w:rStyle w:val="ad"/>
            <w:noProof/>
            <w:shd w:val="clear" w:color="auto" w:fill="FFFFFF"/>
          </w:rPr>
          <w:t>4. Краткая характеристика спроса на рынке жилья</w:t>
        </w:r>
        <w:r>
          <w:rPr>
            <w:noProof/>
            <w:webHidden/>
          </w:rPr>
          <w:tab/>
        </w:r>
        <w:r>
          <w:rPr>
            <w:noProof/>
            <w:webHidden/>
          </w:rPr>
          <w:fldChar w:fldCharType="begin"/>
        </w:r>
        <w:r>
          <w:rPr>
            <w:noProof/>
            <w:webHidden/>
          </w:rPr>
          <w:instrText xml:space="preserve"> PAGEREF _Toc351452807 \h </w:instrText>
        </w:r>
        <w:r>
          <w:rPr>
            <w:noProof/>
            <w:webHidden/>
          </w:rPr>
        </w:r>
        <w:r>
          <w:rPr>
            <w:noProof/>
            <w:webHidden/>
          </w:rPr>
          <w:fldChar w:fldCharType="separate"/>
        </w:r>
        <w:r>
          <w:rPr>
            <w:noProof/>
            <w:webHidden/>
          </w:rPr>
          <w:t>14</w:t>
        </w:r>
        <w:r>
          <w:rPr>
            <w:noProof/>
            <w:webHidden/>
          </w:rPr>
          <w:fldChar w:fldCharType="end"/>
        </w:r>
      </w:hyperlink>
    </w:p>
    <w:p w:rsidR="00A40A3C" w:rsidRDefault="009D4B3A" w:rsidP="00AC0DC9">
      <w:pPr>
        <w:ind w:firstLine="0"/>
        <w:rPr>
          <w:szCs w:val="24"/>
        </w:rPr>
      </w:pPr>
      <w:r>
        <w:rPr>
          <w:szCs w:val="24"/>
        </w:rPr>
        <w:fldChar w:fldCharType="end"/>
      </w:r>
    </w:p>
    <w:p w:rsidR="00A40A3C" w:rsidRDefault="00A40A3C">
      <w:pPr>
        <w:rPr>
          <w:rFonts w:eastAsiaTheme="majorEastAsia" w:cstheme="majorBidi"/>
          <w:b/>
          <w:bCs/>
          <w:caps/>
          <w:szCs w:val="24"/>
        </w:rPr>
      </w:pPr>
      <w:r>
        <w:rPr>
          <w:szCs w:val="24"/>
        </w:rPr>
        <w:br w:type="page"/>
      </w:r>
    </w:p>
    <w:p w:rsidR="006D2A25" w:rsidRPr="00CE052A" w:rsidRDefault="00F0495C" w:rsidP="00CE052A">
      <w:pPr>
        <w:pStyle w:val="1"/>
        <w:rPr>
          <w:szCs w:val="24"/>
        </w:rPr>
      </w:pPr>
      <w:bookmarkStart w:id="0" w:name="_Toc351452798"/>
      <w:r w:rsidRPr="00CE052A">
        <w:rPr>
          <w:szCs w:val="24"/>
        </w:rPr>
        <w:lastRenderedPageBreak/>
        <w:t>1</w:t>
      </w:r>
      <w:r w:rsidR="00CE052A" w:rsidRPr="00CE052A">
        <w:rPr>
          <w:szCs w:val="24"/>
        </w:rPr>
        <w:t>. Обзор цен предложения на первичном рынке жилой недвижимости г. Тюмени</w:t>
      </w:r>
      <w:bookmarkEnd w:id="0"/>
    </w:p>
    <w:p w:rsidR="005E5A01" w:rsidRPr="005E5A01" w:rsidRDefault="00CE052A" w:rsidP="00CE052A">
      <w:pPr>
        <w:pStyle w:val="2"/>
      </w:pPr>
      <w:bookmarkStart w:id="1" w:name="_Toc351452799"/>
      <w:r>
        <w:t>1.1. </w:t>
      </w:r>
      <w:r w:rsidR="005E5A01" w:rsidRPr="005E5A01">
        <w:t xml:space="preserve">Обзор цен на </w:t>
      </w:r>
      <w:r w:rsidR="005E5A01" w:rsidRPr="00CE052A">
        <w:rPr>
          <w:szCs w:val="24"/>
        </w:rPr>
        <w:t>первичном</w:t>
      </w:r>
      <w:r w:rsidR="005E5A01" w:rsidRPr="005E5A01">
        <w:t xml:space="preserve"> рынке жилой</w:t>
      </w:r>
      <w:r>
        <w:t xml:space="preserve"> недвижимости по городу в целом</w:t>
      </w:r>
      <w:bookmarkEnd w:id="1"/>
    </w:p>
    <w:p w:rsidR="00291F4A" w:rsidRDefault="00291F4A" w:rsidP="00433A9E">
      <w:r>
        <w:t xml:space="preserve">По итогам </w:t>
      </w:r>
      <w:r w:rsidR="00730A2D">
        <w:t>сентября</w:t>
      </w:r>
      <w:r>
        <w:t xml:space="preserve"> 201</w:t>
      </w:r>
      <w:r w:rsidR="00DD25E3">
        <w:t>2</w:t>
      </w:r>
      <w:r>
        <w:t xml:space="preserve"> года средн</w:t>
      </w:r>
      <w:r w:rsidR="006C6A36">
        <w:t>яя удельная</w:t>
      </w:r>
      <w:r>
        <w:t xml:space="preserve"> цена квадратного метра жилой недвижимости на рынке новостроек составила </w:t>
      </w:r>
      <w:r w:rsidR="00DD25E3">
        <w:t>5</w:t>
      </w:r>
      <w:r w:rsidR="00730A2D">
        <w:t>6</w:t>
      </w:r>
      <w:r>
        <w:t> </w:t>
      </w:r>
      <w:r w:rsidR="00306BA5">
        <w:t>3</w:t>
      </w:r>
      <w:r w:rsidR="00730A2D">
        <w:t>64</w:t>
      </w:r>
      <w:r>
        <w:t xml:space="preserve"> руб./кв. м. В разбивке по </w:t>
      </w:r>
      <w:proofErr w:type="spellStart"/>
      <w:r>
        <w:t>комнатности</w:t>
      </w:r>
      <w:proofErr w:type="spellEnd"/>
      <w:r>
        <w:t xml:space="preserve"> цены </w:t>
      </w:r>
      <w:r w:rsidR="00310640">
        <w:t>з</w:t>
      </w:r>
      <w:r>
        <w:t>а квадрат выглядели следующим образом:</w:t>
      </w:r>
    </w:p>
    <w:p w:rsidR="00291F4A" w:rsidRDefault="004D350E" w:rsidP="0071028A">
      <w:pPr>
        <w:spacing w:after="0"/>
        <w:ind w:firstLine="708"/>
        <w:rPr>
          <w:rFonts w:cs="Times New Roman"/>
          <w:szCs w:val="24"/>
        </w:rPr>
      </w:pPr>
      <w:r>
        <w:rPr>
          <w:rFonts w:cs="Times New Roman"/>
          <w:szCs w:val="24"/>
        </w:rPr>
        <w:t>–</w:t>
      </w:r>
      <w:r w:rsidR="00291F4A">
        <w:rPr>
          <w:rFonts w:cs="Times New Roman"/>
          <w:szCs w:val="24"/>
        </w:rPr>
        <w:t xml:space="preserve"> 1-комнатные: </w:t>
      </w:r>
      <w:r w:rsidR="00DD25E3">
        <w:rPr>
          <w:rFonts w:cs="Times New Roman"/>
          <w:szCs w:val="24"/>
        </w:rPr>
        <w:t>5</w:t>
      </w:r>
      <w:r w:rsidR="00730A2D">
        <w:rPr>
          <w:rFonts w:cs="Times New Roman"/>
          <w:szCs w:val="24"/>
        </w:rPr>
        <w:t>7</w:t>
      </w:r>
      <w:r w:rsidR="00291F4A">
        <w:rPr>
          <w:rFonts w:cs="Times New Roman"/>
          <w:szCs w:val="24"/>
        </w:rPr>
        <w:t> </w:t>
      </w:r>
      <w:r w:rsidR="00730A2D">
        <w:rPr>
          <w:rFonts w:cs="Times New Roman"/>
          <w:szCs w:val="24"/>
        </w:rPr>
        <w:t>225</w:t>
      </w:r>
      <w:r w:rsidR="00291F4A">
        <w:rPr>
          <w:rFonts w:cs="Times New Roman"/>
          <w:szCs w:val="24"/>
        </w:rPr>
        <w:t> руб./кв. м;</w:t>
      </w:r>
    </w:p>
    <w:p w:rsidR="00291F4A" w:rsidRDefault="004D350E" w:rsidP="0071028A">
      <w:pPr>
        <w:spacing w:after="0"/>
        <w:ind w:firstLine="708"/>
        <w:rPr>
          <w:rFonts w:cs="Times New Roman"/>
          <w:szCs w:val="24"/>
        </w:rPr>
      </w:pPr>
      <w:r>
        <w:rPr>
          <w:rFonts w:cs="Times New Roman"/>
          <w:szCs w:val="24"/>
        </w:rPr>
        <w:t>–</w:t>
      </w:r>
      <w:r w:rsidR="00291F4A">
        <w:rPr>
          <w:rFonts w:cs="Times New Roman"/>
          <w:szCs w:val="24"/>
        </w:rPr>
        <w:t xml:space="preserve"> 2-комнатные: </w:t>
      </w:r>
      <w:r w:rsidR="00DD25E3">
        <w:rPr>
          <w:rFonts w:cs="Times New Roman"/>
          <w:szCs w:val="24"/>
        </w:rPr>
        <w:t>5</w:t>
      </w:r>
      <w:r w:rsidR="00730A2D">
        <w:rPr>
          <w:rFonts w:cs="Times New Roman"/>
          <w:szCs w:val="24"/>
        </w:rPr>
        <w:t>7</w:t>
      </w:r>
      <w:r w:rsidR="00291F4A">
        <w:rPr>
          <w:rFonts w:cs="Times New Roman"/>
          <w:szCs w:val="24"/>
        </w:rPr>
        <w:t> </w:t>
      </w:r>
      <w:r w:rsidR="00730A2D">
        <w:rPr>
          <w:rFonts w:cs="Times New Roman"/>
          <w:szCs w:val="24"/>
        </w:rPr>
        <w:t>272</w:t>
      </w:r>
      <w:r w:rsidR="00291F4A">
        <w:rPr>
          <w:rFonts w:cs="Times New Roman"/>
          <w:szCs w:val="24"/>
        </w:rPr>
        <w:t> руб./кв. м;</w:t>
      </w:r>
    </w:p>
    <w:p w:rsidR="00291F4A" w:rsidRPr="00291F4A" w:rsidRDefault="004D350E" w:rsidP="0071028A">
      <w:pPr>
        <w:spacing w:after="0"/>
        <w:ind w:firstLine="708"/>
        <w:rPr>
          <w:rFonts w:cs="Times New Roman"/>
          <w:szCs w:val="24"/>
        </w:rPr>
      </w:pPr>
      <w:r>
        <w:rPr>
          <w:rFonts w:cs="Times New Roman"/>
          <w:szCs w:val="24"/>
        </w:rPr>
        <w:t>–</w:t>
      </w:r>
      <w:r w:rsidR="00291F4A">
        <w:rPr>
          <w:rFonts w:cs="Times New Roman"/>
          <w:szCs w:val="24"/>
        </w:rPr>
        <w:t xml:space="preserve"> 3-комнатные: </w:t>
      </w:r>
      <w:r w:rsidR="00C604C5">
        <w:rPr>
          <w:rFonts w:cs="Times New Roman"/>
          <w:szCs w:val="24"/>
        </w:rPr>
        <w:t>5</w:t>
      </w:r>
      <w:r w:rsidR="00730A2D">
        <w:rPr>
          <w:rFonts w:cs="Times New Roman"/>
          <w:szCs w:val="24"/>
        </w:rPr>
        <w:t>7</w:t>
      </w:r>
      <w:r w:rsidR="00291F4A">
        <w:rPr>
          <w:rFonts w:cs="Times New Roman"/>
          <w:szCs w:val="24"/>
        </w:rPr>
        <w:t> </w:t>
      </w:r>
      <w:r w:rsidR="00730A2D">
        <w:rPr>
          <w:rFonts w:cs="Times New Roman"/>
          <w:szCs w:val="24"/>
        </w:rPr>
        <w:t>646</w:t>
      </w:r>
      <w:r w:rsidR="00291F4A">
        <w:rPr>
          <w:rFonts w:cs="Times New Roman"/>
          <w:szCs w:val="24"/>
        </w:rPr>
        <w:t> руб./кв. м;</w:t>
      </w:r>
    </w:p>
    <w:p w:rsidR="00E8032F" w:rsidRDefault="004D350E" w:rsidP="00E8032F">
      <w:pPr>
        <w:spacing w:after="0"/>
        <w:ind w:firstLine="708"/>
        <w:rPr>
          <w:rFonts w:cs="Times New Roman"/>
          <w:szCs w:val="24"/>
        </w:rPr>
      </w:pPr>
      <w:r>
        <w:rPr>
          <w:rFonts w:cs="Times New Roman"/>
          <w:szCs w:val="24"/>
        </w:rPr>
        <w:t>–</w:t>
      </w:r>
      <w:r w:rsidR="00291F4A">
        <w:rPr>
          <w:rFonts w:cs="Times New Roman"/>
          <w:szCs w:val="24"/>
        </w:rPr>
        <w:t xml:space="preserve"> 4-комна</w:t>
      </w:r>
      <w:r w:rsidR="00E8032F">
        <w:rPr>
          <w:rFonts w:cs="Times New Roman"/>
          <w:szCs w:val="24"/>
        </w:rPr>
        <w:t xml:space="preserve">тные и более: </w:t>
      </w:r>
      <w:r w:rsidR="00DD25E3">
        <w:rPr>
          <w:rFonts w:cs="Times New Roman"/>
          <w:szCs w:val="24"/>
        </w:rPr>
        <w:t>6</w:t>
      </w:r>
      <w:r w:rsidR="00730A2D">
        <w:rPr>
          <w:rFonts w:cs="Times New Roman"/>
          <w:szCs w:val="24"/>
        </w:rPr>
        <w:t>6</w:t>
      </w:r>
      <w:r w:rsidR="00E8032F">
        <w:rPr>
          <w:rFonts w:cs="Times New Roman"/>
          <w:szCs w:val="24"/>
        </w:rPr>
        <w:t> </w:t>
      </w:r>
      <w:r w:rsidR="00306BA5">
        <w:rPr>
          <w:rFonts w:cs="Times New Roman"/>
          <w:szCs w:val="24"/>
        </w:rPr>
        <w:t>7</w:t>
      </w:r>
      <w:r w:rsidR="00730A2D">
        <w:rPr>
          <w:rFonts w:cs="Times New Roman"/>
          <w:szCs w:val="24"/>
        </w:rPr>
        <w:t>8</w:t>
      </w:r>
      <w:r w:rsidR="00306BA5">
        <w:rPr>
          <w:rFonts w:cs="Times New Roman"/>
          <w:szCs w:val="24"/>
        </w:rPr>
        <w:t>0</w:t>
      </w:r>
      <w:r w:rsidR="00E8032F">
        <w:rPr>
          <w:rFonts w:cs="Times New Roman"/>
          <w:szCs w:val="24"/>
        </w:rPr>
        <w:t> руб./кв. м.</w:t>
      </w:r>
    </w:p>
    <w:p w:rsidR="00E8032F" w:rsidRPr="001B3739" w:rsidRDefault="00E8032F" w:rsidP="00433A9E">
      <w:r w:rsidRPr="001B3739">
        <w:t xml:space="preserve">Самая низкая </w:t>
      </w:r>
      <w:r w:rsidR="00306045" w:rsidRPr="001B3739">
        <w:t xml:space="preserve">цена за квадрат </w:t>
      </w:r>
      <w:r w:rsidRPr="001B3739">
        <w:t>по городу была отмечена у застройщика ЗАО</w:t>
      </w:r>
      <w:r w:rsidR="00306045" w:rsidRPr="001B3739">
        <w:t> </w:t>
      </w:r>
      <w:r w:rsidRPr="001B3739">
        <w:t>«</w:t>
      </w:r>
      <w:r w:rsidR="00730A2D">
        <w:t>Завод ЖБИ-3</w:t>
      </w:r>
      <w:r w:rsidRPr="001B3739">
        <w:t>» (ЖК «</w:t>
      </w:r>
      <w:r w:rsidR="00730A2D">
        <w:t>Тура</w:t>
      </w:r>
      <w:r w:rsidR="00841DA4" w:rsidRPr="001B3739">
        <w:t xml:space="preserve">») – </w:t>
      </w:r>
      <w:r w:rsidR="00C023EB" w:rsidRPr="001B3739">
        <w:t>3</w:t>
      </w:r>
      <w:r w:rsidR="00730A2D">
        <w:t>3</w:t>
      </w:r>
      <w:r w:rsidRPr="001B3739">
        <w:t>,</w:t>
      </w:r>
      <w:r w:rsidR="00730A2D">
        <w:t>3</w:t>
      </w:r>
      <w:r w:rsidR="00306045" w:rsidRPr="001B3739">
        <w:t> </w:t>
      </w:r>
      <w:r w:rsidRPr="001B3739">
        <w:t>тыс.</w:t>
      </w:r>
      <w:r w:rsidR="00306045" w:rsidRPr="001B3739">
        <w:t> </w:t>
      </w:r>
      <w:r w:rsidRPr="001B3739">
        <w:t>руб./к</w:t>
      </w:r>
      <w:r w:rsidR="00306045" w:rsidRPr="001B3739">
        <w:t>в</w:t>
      </w:r>
      <w:r w:rsidRPr="001B3739">
        <w:t>.</w:t>
      </w:r>
      <w:r w:rsidR="00306045" w:rsidRPr="001B3739">
        <w:t> </w:t>
      </w:r>
      <w:r w:rsidRPr="001B3739">
        <w:t xml:space="preserve">м, самая высокая – </w:t>
      </w:r>
      <w:r w:rsidR="001B3739" w:rsidRPr="001B3739">
        <w:t>ЗА</w:t>
      </w:r>
      <w:r w:rsidRPr="001B3739">
        <w:t>О «</w:t>
      </w:r>
      <w:proofErr w:type="spellStart"/>
      <w:r w:rsidR="001B3739" w:rsidRPr="001B3739">
        <w:t>Арман</w:t>
      </w:r>
      <w:proofErr w:type="spellEnd"/>
      <w:r w:rsidR="001B3739" w:rsidRPr="001B3739">
        <w:t xml:space="preserve"> </w:t>
      </w:r>
      <w:proofErr w:type="spellStart"/>
      <w:r w:rsidR="001B3739" w:rsidRPr="001B3739">
        <w:t>Технолоджи</w:t>
      </w:r>
      <w:proofErr w:type="spellEnd"/>
      <w:r w:rsidRPr="001B3739">
        <w:t>» (</w:t>
      </w:r>
      <w:r w:rsidR="00306045" w:rsidRPr="001B3739">
        <w:t xml:space="preserve">жилой дом </w:t>
      </w:r>
      <w:proofErr w:type="spellStart"/>
      <w:r w:rsidR="00306045" w:rsidRPr="001B3739">
        <w:t>премиум</w:t>
      </w:r>
      <w:proofErr w:type="spellEnd"/>
      <w:r w:rsidR="00306045" w:rsidRPr="001B3739">
        <w:t xml:space="preserve"> класса </w:t>
      </w:r>
      <w:r w:rsidR="001B3739" w:rsidRPr="001B3739">
        <w:t>по ул. </w:t>
      </w:r>
      <w:r w:rsidR="00730A2D">
        <w:t xml:space="preserve">Пржевальского – </w:t>
      </w:r>
      <w:r w:rsidR="001B3739" w:rsidRPr="001B3739">
        <w:t>Севастопольская</w:t>
      </w:r>
      <w:r w:rsidR="00730A2D">
        <w:t xml:space="preserve"> </w:t>
      </w:r>
      <w:r w:rsidR="00701507">
        <w:t>–</w:t>
      </w:r>
      <w:r w:rsidR="00730A2D">
        <w:t xml:space="preserve"> Рижская</w:t>
      </w:r>
      <w:r w:rsidR="00701507">
        <w:t>, срок сдачи – 2014 г.</w:t>
      </w:r>
      <w:r w:rsidRPr="001B3739">
        <w:t>)</w:t>
      </w:r>
      <w:r w:rsidR="00306045" w:rsidRPr="001B3739">
        <w:t xml:space="preserve"> – 1</w:t>
      </w:r>
      <w:r w:rsidR="00730A2D">
        <w:t>50</w:t>
      </w:r>
      <w:r w:rsidR="00306045" w:rsidRPr="001B3739">
        <w:t>,</w:t>
      </w:r>
      <w:r w:rsidR="00730A2D">
        <w:t>0</w:t>
      </w:r>
      <w:r w:rsidR="00306045" w:rsidRPr="001B3739">
        <w:t> тыс. руб./кв. м.</w:t>
      </w:r>
    </w:p>
    <w:p w:rsidR="004D350E" w:rsidRPr="001B3739" w:rsidRDefault="004D350E" w:rsidP="00433A9E">
      <w:r w:rsidRPr="001B3739">
        <w:t>Диапазоны цен были представлены следующим образом:</w:t>
      </w:r>
    </w:p>
    <w:p w:rsidR="001F5483" w:rsidRPr="00CE2AA6" w:rsidRDefault="001F5483" w:rsidP="00433A9E">
      <w:r w:rsidRPr="00CE2AA6">
        <w:t xml:space="preserve">– 1-комнатные: </w:t>
      </w:r>
      <w:r w:rsidR="00EE480A" w:rsidRPr="00CE2AA6">
        <w:t>3</w:t>
      </w:r>
      <w:r w:rsidR="00730A2D">
        <w:t>4</w:t>
      </w:r>
      <w:r w:rsidRPr="00CE2AA6">
        <w:t>,</w:t>
      </w:r>
      <w:r w:rsidR="00730A2D">
        <w:t>5</w:t>
      </w:r>
      <w:r w:rsidRPr="00CE2AA6">
        <w:t>-</w:t>
      </w:r>
      <w:r w:rsidR="00730A2D">
        <w:t>93</w:t>
      </w:r>
      <w:r w:rsidRPr="00CE2AA6">
        <w:t>,</w:t>
      </w:r>
      <w:r w:rsidR="00730A2D">
        <w:t>0</w:t>
      </w:r>
      <w:r w:rsidRPr="00CE2AA6">
        <w:t> тыс. руб./кв. м;</w:t>
      </w:r>
    </w:p>
    <w:p w:rsidR="001F5483" w:rsidRPr="00CE2AA6" w:rsidRDefault="001F5483" w:rsidP="00433A9E">
      <w:r w:rsidRPr="00CE2AA6">
        <w:t xml:space="preserve">– 2-комнатные: </w:t>
      </w:r>
      <w:r w:rsidR="00EE480A" w:rsidRPr="00CE2AA6">
        <w:t>3</w:t>
      </w:r>
      <w:r w:rsidR="00730A2D">
        <w:t>4</w:t>
      </w:r>
      <w:r w:rsidRPr="00CE2AA6">
        <w:t>,0-1</w:t>
      </w:r>
      <w:r w:rsidR="00CE2AA6" w:rsidRPr="00CE2AA6">
        <w:t>5</w:t>
      </w:r>
      <w:r w:rsidR="00730A2D">
        <w:t>5</w:t>
      </w:r>
      <w:r w:rsidRPr="00CE2AA6">
        <w:t>,0 тыс. руб./кв. м;</w:t>
      </w:r>
    </w:p>
    <w:p w:rsidR="001F5483" w:rsidRPr="00CE2AA6" w:rsidRDefault="001F5483" w:rsidP="00433A9E">
      <w:r w:rsidRPr="00CE2AA6">
        <w:t xml:space="preserve">– 3-комнатные: </w:t>
      </w:r>
      <w:r w:rsidR="00841DA4" w:rsidRPr="00CE2AA6">
        <w:t>3</w:t>
      </w:r>
      <w:r w:rsidR="00730A2D">
        <w:t>3</w:t>
      </w:r>
      <w:r w:rsidRPr="00CE2AA6">
        <w:t>,</w:t>
      </w:r>
      <w:r w:rsidR="00730A2D">
        <w:t>3</w:t>
      </w:r>
      <w:r w:rsidRPr="00CE2AA6">
        <w:t>-1</w:t>
      </w:r>
      <w:r w:rsidR="00CE2AA6" w:rsidRPr="00CE2AA6">
        <w:t>5</w:t>
      </w:r>
      <w:r w:rsidR="00730A2D">
        <w:t>4</w:t>
      </w:r>
      <w:r w:rsidRPr="00CE2AA6">
        <w:t>,</w:t>
      </w:r>
      <w:r w:rsidR="00CE2AA6" w:rsidRPr="00CE2AA6">
        <w:t>0</w:t>
      </w:r>
      <w:r w:rsidRPr="00CE2AA6">
        <w:t> тыс. руб./кв. м;</w:t>
      </w:r>
    </w:p>
    <w:p w:rsidR="004D350E" w:rsidRPr="00CE2AA6" w:rsidRDefault="001F5483" w:rsidP="00433A9E">
      <w:r w:rsidRPr="00CE2AA6">
        <w:t xml:space="preserve">– 4-комнатные и более: </w:t>
      </w:r>
      <w:r w:rsidR="00EE480A" w:rsidRPr="00CE2AA6">
        <w:t>3</w:t>
      </w:r>
      <w:r w:rsidR="00730A2D">
        <w:t>6</w:t>
      </w:r>
      <w:r w:rsidRPr="00CE2AA6">
        <w:t>,</w:t>
      </w:r>
      <w:r w:rsidR="00730A2D">
        <w:t>2</w:t>
      </w:r>
      <w:r w:rsidRPr="00CE2AA6">
        <w:t>-1</w:t>
      </w:r>
      <w:r w:rsidR="00CE2AA6" w:rsidRPr="00CE2AA6">
        <w:t>4</w:t>
      </w:r>
      <w:r w:rsidR="00730A2D">
        <w:t>1</w:t>
      </w:r>
      <w:r w:rsidRPr="00CE2AA6">
        <w:t>,</w:t>
      </w:r>
      <w:r w:rsidR="00730A2D">
        <w:t>0</w:t>
      </w:r>
      <w:r w:rsidRPr="00CE2AA6">
        <w:t> тыс. руб./кв. м.</w:t>
      </w:r>
    </w:p>
    <w:p w:rsidR="00E8032F" w:rsidRPr="00291F4A" w:rsidRDefault="00E8032F" w:rsidP="00433A9E">
      <w:r w:rsidRPr="00CE2AA6">
        <w:t xml:space="preserve">Средняя цена за объект в </w:t>
      </w:r>
      <w:r w:rsidR="00730A2D">
        <w:t>сентябре</w:t>
      </w:r>
      <w:r w:rsidRPr="00CE2AA6">
        <w:t xml:space="preserve"> 201</w:t>
      </w:r>
      <w:r w:rsidR="00B31F11" w:rsidRPr="00CE2AA6">
        <w:t>2</w:t>
      </w:r>
      <w:r w:rsidRPr="00CE2AA6">
        <w:t xml:space="preserve"> года составила 4 </w:t>
      </w:r>
      <w:r w:rsidR="00730A2D">
        <w:t>972</w:t>
      </w:r>
      <w:r w:rsidRPr="00CE2AA6">
        <w:t> тыс. руб. В зависимости от количества комнат средние цены находились в диапазоне от 2 </w:t>
      </w:r>
      <w:r w:rsidR="00730A2D">
        <w:t>542</w:t>
      </w:r>
      <w:r w:rsidRPr="00CE2AA6">
        <w:t xml:space="preserve"> до </w:t>
      </w:r>
      <w:r w:rsidR="00CE2AA6" w:rsidRPr="00CE2AA6">
        <w:t>10</w:t>
      </w:r>
      <w:r w:rsidRPr="00CE2AA6">
        <w:t> </w:t>
      </w:r>
      <w:r w:rsidR="00CE2AA6" w:rsidRPr="00CE2AA6">
        <w:t>5</w:t>
      </w:r>
      <w:r w:rsidR="00730A2D">
        <w:t>5</w:t>
      </w:r>
      <w:r w:rsidR="00CE2AA6" w:rsidRPr="00CE2AA6">
        <w:t>3</w:t>
      </w:r>
      <w:r w:rsidRPr="00CE2AA6">
        <w:t> тыс. руб.</w:t>
      </w:r>
      <w:r>
        <w:t xml:space="preserve"> </w:t>
      </w:r>
    </w:p>
    <w:p w:rsidR="00291F4A" w:rsidRDefault="00291F4A" w:rsidP="00433A9E"/>
    <w:p w:rsidR="0071028A" w:rsidRDefault="00730A2D" w:rsidP="0071028A">
      <w:pPr>
        <w:spacing w:after="0"/>
        <w:jc w:val="center"/>
        <w:rPr>
          <w:rFonts w:cs="Times New Roman"/>
          <w:szCs w:val="24"/>
        </w:rPr>
      </w:pPr>
      <w:r w:rsidRPr="00730A2D">
        <w:rPr>
          <w:rFonts w:cs="Times New Roman"/>
          <w:noProof/>
          <w:szCs w:val="24"/>
          <w:lang w:eastAsia="ru-RU"/>
        </w:rPr>
        <w:drawing>
          <wp:inline distT="0" distB="0" distL="0" distR="0">
            <wp:extent cx="4554008" cy="2790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028A" w:rsidRPr="0071028A" w:rsidRDefault="0071028A" w:rsidP="0071028A">
      <w:pPr>
        <w:spacing w:after="0"/>
        <w:jc w:val="center"/>
        <w:rPr>
          <w:rFonts w:cs="Times New Roman"/>
          <w:i/>
          <w:szCs w:val="24"/>
        </w:rPr>
      </w:pPr>
      <w:r w:rsidRPr="0071028A">
        <w:rPr>
          <w:rFonts w:cs="Times New Roman"/>
          <w:i/>
          <w:szCs w:val="24"/>
        </w:rPr>
        <w:t xml:space="preserve">Рис. Средние удельные и средние цены за объект первичного рынка жилой недвижимости, </w:t>
      </w:r>
      <w:r w:rsidR="00730A2D">
        <w:rPr>
          <w:rFonts w:cs="Times New Roman"/>
          <w:i/>
          <w:szCs w:val="24"/>
        </w:rPr>
        <w:t>сентябр</w:t>
      </w:r>
      <w:r w:rsidR="00306BA5">
        <w:rPr>
          <w:rFonts w:cs="Times New Roman"/>
          <w:i/>
          <w:szCs w:val="24"/>
        </w:rPr>
        <w:t>ь</w:t>
      </w:r>
      <w:r w:rsidRPr="0071028A">
        <w:rPr>
          <w:rFonts w:cs="Times New Roman"/>
          <w:i/>
          <w:szCs w:val="24"/>
        </w:rPr>
        <w:t xml:space="preserve"> 201</w:t>
      </w:r>
      <w:r w:rsidR="00DD25E3">
        <w:rPr>
          <w:rFonts w:cs="Times New Roman"/>
          <w:i/>
          <w:szCs w:val="24"/>
        </w:rPr>
        <w:t>2</w:t>
      </w:r>
      <w:r w:rsidRPr="0071028A">
        <w:rPr>
          <w:rFonts w:cs="Times New Roman"/>
          <w:i/>
          <w:szCs w:val="24"/>
        </w:rPr>
        <w:t xml:space="preserve"> года</w:t>
      </w:r>
    </w:p>
    <w:p w:rsidR="0071028A" w:rsidRDefault="0071028A" w:rsidP="00433A9E"/>
    <w:p w:rsidR="0071028A" w:rsidRDefault="00016E18" w:rsidP="00433A9E">
      <w:r w:rsidRPr="006C7309">
        <w:t>В разбивке по районам города</w:t>
      </w:r>
      <w:r w:rsidR="00310640" w:rsidRPr="006C7309">
        <w:t xml:space="preserve"> самые дорогие квартиры предлагались в Центральном районе, по средней цене </w:t>
      </w:r>
      <w:r w:rsidR="0070406E" w:rsidRPr="006C7309">
        <w:t>7</w:t>
      </w:r>
      <w:r w:rsidR="00963AD8">
        <w:t>3</w:t>
      </w:r>
      <w:r w:rsidR="004174EC" w:rsidRPr="006C7309">
        <w:t>,</w:t>
      </w:r>
      <w:r w:rsidR="00963AD8">
        <w:t>7</w:t>
      </w:r>
      <w:r w:rsidR="004174EC" w:rsidRPr="006C7309">
        <w:t xml:space="preserve"> тыс. руб./кв. м, минимальная </w:t>
      </w:r>
      <w:r w:rsidR="0016018B" w:rsidRPr="006C7309">
        <w:t xml:space="preserve">средняя </w:t>
      </w:r>
      <w:r w:rsidR="004174EC" w:rsidRPr="006C7309">
        <w:t xml:space="preserve">цена наблюдалась </w:t>
      </w:r>
      <w:r w:rsidR="00AF3526">
        <w:t>на окаринах города</w:t>
      </w:r>
      <w:r w:rsidR="004174EC" w:rsidRPr="006C7309">
        <w:t xml:space="preserve"> </w:t>
      </w:r>
      <w:r w:rsidR="00AF3526">
        <w:t>(</w:t>
      </w:r>
      <w:r w:rsidR="004174EC" w:rsidRPr="00AF3526">
        <w:t>пос. </w:t>
      </w:r>
      <w:proofErr w:type="spellStart"/>
      <w:r w:rsidR="00AF3526" w:rsidRPr="00AF3526">
        <w:t>Войновка</w:t>
      </w:r>
      <w:proofErr w:type="spellEnd"/>
      <w:r w:rsidR="004174EC" w:rsidRPr="00AF3526">
        <w:t xml:space="preserve">, </w:t>
      </w:r>
      <w:r w:rsidR="00AF3526" w:rsidRPr="00AF3526">
        <w:t>р</w:t>
      </w:r>
      <w:r w:rsidR="00AF3526">
        <w:t>айон</w:t>
      </w:r>
      <w:r w:rsidR="00AF3526" w:rsidRPr="00AF3526">
        <w:t xml:space="preserve"> </w:t>
      </w:r>
      <w:proofErr w:type="spellStart"/>
      <w:r w:rsidR="00AF3526" w:rsidRPr="00AF3526">
        <w:t>Лесобазы</w:t>
      </w:r>
      <w:proofErr w:type="spellEnd"/>
      <w:r w:rsidR="00AF3526">
        <w:t xml:space="preserve"> и т.д.)</w:t>
      </w:r>
      <w:r w:rsidR="004174EC" w:rsidRPr="006C7309">
        <w:t xml:space="preserve"> – </w:t>
      </w:r>
      <w:r w:rsidR="00CE2AA6">
        <w:t>4</w:t>
      </w:r>
      <w:r w:rsidR="00963AD8">
        <w:t>5</w:t>
      </w:r>
      <w:r w:rsidR="004174EC" w:rsidRPr="006C7309">
        <w:t>,</w:t>
      </w:r>
      <w:r w:rsidR="00963AD8">
        <w:t>5</w:t>
      </w:r>
      <w:r w:rsidR="004174EC" w:rsidRPr="006C7309">
        <w:t> тыс. руб./кв. м.</w:t>
      </w:r>
      <w:r w:rsidR="00E63114" w:rsidRPr="006C7309">
        <w:t xml:space="preserve"> Стоит отметить, что лишь в Центральной части жилая недвижимость первичного рынка предлагалась по цене выше средней удельной (на </w:t>
      </w:r>
      <w:r w:rsidR="006C7309" w:rsidRPr="006C7309">
        <w:t>3</w:t>
      </w:r>
      <w:r w:rsidR="00963AD8">
        <w:t>1</w:t>
      </w:r>
      <w:r w:rsidR="00E63114" w:rsidRPr="006C7309">
        <w:t xml:space="preserve">%), во всех остальных районах города </w:t>
      </w:r>
      <w:r w:rsidR="0045386E" w:rsidRPr="006C7309">
        <w:t xml:space="preserve">средняя удельная </w:t>
      </w:r>
      <w:r w:rsidR="00E63114" w:rsidRPr="006C7309">
        <w:t xml:space="preserve">цена была ниже (от </w:t>
      </w:r>
      <w:r w:rsidR="00CE2AA6">
        <w:t>2</w:t>
      </w:r>
      <w:r w:rsidR="00E63114" w:rsidRPr="006C7309">
        <w:t xml:space="preserve">% до </w:t>
      </w:r>
      <w:r w:rsidR="00CE2AA6">
        <w:t>19</w:t>
      </w:r>
      <w:r w:rsidR="00E63114" w:rsidRPr="006C7309">
        <w:t>%)</w:t>
      </w:r>
      <w:r w:rsidR="006C6A36" w:rsidRPr="006C7309">
        <w:t xml:space="preserve">, и составила от </w:t>
      </w:r>
      <w:r w:rsidR="00E84B71">
        <w:t>4</w:t>
      </w:r>
      <w:r w:rsidR="00963AD8">
        <w:t>5</w:t>
      </w:r>
      <w:r w:rsidR="006C6A36" w:rsidRPr="006C7309">
        <w:t>,</w:t>
      </w:r>
      <w:r w:rsidR="00963AD8">
        <w:t>5</w:t>
      </w:r>
      <w:r w:rsidR="006C6A36" w:rsidRPr="006C7309">
        <w:t xml:space="preserve"> до </w:t>
      </w:r>
      <w:r w:rsidR="00E84B71">
        <w:t>5</w:t>
      </w:r>
      <w:r w:rsidR="00963AD8">
        <w:t>5</w:t>
      </w:r>
      <w:r w:rsidR="006C6A36" w:rsidRPr="006C7309">
        <w:t>,</w:t>
      </w:r>
      <w:r w:rsidR="00963AD8">
        <w:t>5</w:t>
      </w:r>
      <w:r w:rsidR="006C6A36" w:rsidRPr="006C7309">
        <w:t> тыс. руб./кв. м</w:t>
      </w:r>
      <w:r w:rsidR="00E63114" w:rsidRPr="006C7309">
        <w:t>.</w:t>
      </w:r>
    </w:p>
    <w:p w:rsidR="00310640" w:rsidRDefault="00310640" w:rsidP="00433A9E"/>
    <w:p w:rsidR="00C064C3" w:rsidRDefault="00963AD8" w:rsidP="00C064C3">
      <w:pPr>
        <w:spacing w:after="0"/>
        <w:jc w:val="center"/>
        <w:rPr>
          <w:rFonts w:cs="Times New Roman"/>
          <w:i/>
          <w:szCs w:val="24"/>
        </w:rPr>
      </w:pPr>
      <w:r w:rsidRPr="00963AD8">
        <w:rPr>
          <w:rFonts w:cs="Times New Roman"/>
          <w:i/>
          <w:noProof/>
          <w:szCs w:val="24"/>
          <w:lang w:eastAsia="ru-RU"/>
        </w:rPr>
        <w:lastRenderedPageBreak/>
        <w:drawing>
          <wp:inline distT="0" distB="0" distL="0" distR="0">
            <wp:extent cx="5940425" cy="29895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064C3" w:rsidRPr="00C064C3">
        <w:rPr>
          <w:rFonts w:cs="Times New Roman"/>
          <w:i/>
          <w:szCs w:val="24"/>
        </w:rPr>
        <w:t xml:space="preserve">Рис. Средние удельные цены за квадрат с разбивкой </w:t>
      </w:r>
      <w:r w:rsidR="00C825C7">
        <w:rPr>
          <w:rFonts w:cs="Times New Roman"/>
          <w:i/>
          <w:szCs w:val="24"/>
        </w:rPr>
        <w:t>на</w:t>
      </w:r>
      <w:r w:rsidR="00DD25E3">
        <w:rPr>
          <w:rFonts w:cs="Times New Roman"/>
          <w:i/>
          <w:szCs w:val="24"/>
        </w:rPr>
        <w:t xml:space="preserve"> районы города,</w:t>
      </w:r>
    </w:p>
    <w:p w:rsidR="00310640" w:rsidRPr="00C064C3" w:rsidRDefault="00963AD8" w:rsidP="00C064C3">
      <w:pPr>
        <w:spacing w:after="0"/>
        <w:jc w:val="center"/>
        <w:rPr>
          <w:rFonts w:cs="Times New Roman"/>
          <w:i/>
          <w:szCs w:val="24"/>
        </w:rPr>
      </w:pPr>
      <w:r>
        <w:rPr>
          <w:rFonts w:cs="Times New Roman"/>
          <w:i/>
          <w:szCs w:val="24"/>
        </w:rPr>
        <w:t>сентябр</w:t>
      </w:r>
      <w:r w:rsidR="00705785">
        <w:rPr>
          <w:rFonts w:cs="Times New Roman"/>
          <w:i/>
          <w:szCs w:val="24"/>
        </w:rPr>
        <w:t>ь</w:t>
      </w:r>
      <w:r w:rsidR="00C064C3" w:rsidRPr="00C064C3">
        <w:rPr>
          <w:rFonts w:cs="Times New Roman"/>
          <w:i/>
          <w:szCs w:val="24"/>
        </w:rPr>
        <w:t xml:space="preserve"> 201</w:t>
      </w:r>
      <w:r w:rsidR="00DD25E3">
        <w:rPr>
          <w:rFonts w:cs="Times New Roman"/>
          <w:i/>
          <w:szCs w:val="24"/>
        </w:rPr>
        <w:t>2</w:t>
      </w:r>
      <w:r w:rsidR="00C064C3" w:rsidRPr="00C064C3">
        <w:rPr>
          <w:rFonts w:cs="Times New Roman"/>
          <w:i/>
          <w:szCs w:val="24"/>
        </w:rPr>
        <w:t xml:space="preserve"> года</w:t>
      </w:r>
    </w:p>
    <w:p w:rsidR="006E4D85" w:rsidRDefault="006E4D85" w:rsidP="00433A9E"/>
    <w:p w:rsidR="00C064C3" w:rsidRPr="006E4D85" w:rsidRDefault="00CE052A" w:rsidP="00CE052A">
      <w:pPr>
        <w:pStyle w:val="2"/>
      </w:pPr>
      <w:bookmarkStart w:id="2" w:name="_Toc351452800"/>
      <w:r>
        <w:t>1.2. </w:t>
      </w:r>
      <w:r w:rsidR="005E5A01">
        <w:t xml:space="preserve">Обзор цен жилых новостроек в зависимости </w:t>
      </w:r>
      <w:r w:rsidR="006E4D85" w:rsidRPr="006E4D85">
        <w:t>о</w:t>
      </w:r>
      <w:r w:rsidR="005E5A01">
        <w:t>т класса</w:t>
      </w:r>
      <w:r>
        <w:t xml:space="preserve"> жилья</w:t>
      </w:r>
      <w:bookmarkEnd w:id="2"/>
    </w:p>
    <w:p w:rsidR="005513D7" w:rsidRDefault="00D11A27" w:rsidP="00433A9E">
      <w:r w:rsidRPr="00705785">
        <w:t xml:space="preserve">Основу первичного рынка г. Тюмени составляют квартиры класса </w:t>
      </w:r>
      <w:r w:rsidR="00386703" w:rsidRPr="00705785">
        <w:t>с</w:t>
      </w:r>
      <w:r w:rsidRPr="00705785">
        <w:t xml:space="preserve">тандарт, около </w:t>
      </w:r>
      <w:r w:rsidR="00453DEE">
        <w:t>70</w:t>
      </w:r>
      <w:r w:rsidRPr="00705785">
        <w:t>% всех предложений. Наименьшее число</w:t>
      </w:r>
      <w:r w:rsidR="005B5D86" w:rsidRPr="00705785">
        <w:t xml:space="preserve"> выставленных к реализации квартир </w:t>
      </w:r>
      <w:r w:rsidR="00386703" w:rsidRPr="00705785">
        <w:t xml:space="preserve">представлены в </w:t>
      </w:r>
      <w:r w:rsidR="00A20C6E" w:rsidRPr="00705785">
        <w:t>сегментах</w:t>
      </w:r>
      <w:r w:rsidR="00386703" w:rsidRPr="00705785">
        <w:t xml:space="preserve"> бизнес и </w:t>
      </w:r>
      <w:proofErr w:type="spellStart"/>
      <w:r w:rsidR="00386703" w:rsidRPr="00705785">
        <w:t>премиум</w:t>
      </w:r>
      <w:proofErr w:type="spellEnd"/>
      <w:r w:rsidR="00386703" w:rsidRPr="00705785">
        <w:t xml:space="preserve"> </w:t>
      </w:r>
      <w:r w:rsidR="00A20C6E" w:rsidRPr="00705785">
        <w:t xml:space="preserve">классов </w:t>
      </w:r>
      <w:r w:rsidR="00386703" w:rsidRPr="00705785">
        <w:t>(</w:t>
      </w:r>
      <w:r w:rsidR="00453DEE">
        <w:t>6</w:t>
      </w:r>
      <w:r w:rsidR="00386703" w:rsidRPr="00705785">
        <w:t xml:space="preserve">% и </w:t>
      </w:r>
      <w:r w:rsidR="00453DEE">
        <w:t>4</w:t>
      </w:r>
      <w:r w:rsidR="00386703" w:rsidRPr="00705785">
        <w:t>% соответственно).</w:t>
      </w:r>
    </w:p>
    <w:p w:rsidR="00D92EB1" w:rsidRPr="00514D6E" w:rsidRDefault="00D92EB1" w:rsidP="00433A9E"/>
    <w:p w:rsidR="005513D7" w:rsidRPr="00514D6E" w:rsidRDefault="00B25FBE" w:rsidP="005513D7">
      <w:pPr>
        <w:spacing w:after="0"/>
        <w:jc w:val="center"/>
        <w:rPr>
          <w:rFonts w:cs="Times New Roman"/>
          <w:szCs w:val="24"/>
        </w:rPr>
      </w:pPr>
      <w:r w:rsidRPr="00B25FBE">
        <w:rPr>
          <w:rFonts w:cs="Times New Roman"/>
          <w:noProof/>
          <w:szCs w:val="24"/>
          <w:lang w:eastAsia="ru-RU"/>
        </w:rPr>
        <w:drawing>
          <wp:inline distT="0" distB="0" distL="0" distR="0">
            <wp:extent cx="3115734" cy="2824692"/>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3D7" w:rsidRPr="00514D6E" w:rsidRDefault="005513D7" w:rsidP="005513D7">
      <w:pPr>
        <w:spacing w:after="0"/>
        <w:jc w:val="center"/>
        <w:rPr>
          <w:rFonts w:cs="Times New Roman"/>
          <w:i/>
          <w:szCs w:val="24"/>
        </w:rPr>
      </w:pPr>
      <w:r w:rsidRPr="00514D6E">
        <w:rPr>
          <w:rFonts w:cs="Times New Roman"/>
          <w:i/>
          <w:szCs w:val="24"/>
        </w:rPr>
        <w:t xml:space="preserve">Рис. Объем предложений на первичном рынке жилой недвижимости в долях по классам, </w:t>
      </w:r>
      <w:r w:rsidR="00453DEE">
        <w:rPr>
          <w:rFonts w:cs="Times New Roman"/>
          <w:i/>
          <w:szCs w:val="24"/>
        </w:rPr>
        <w:t>сентябр</w:t>
      </w:r>
      <w:r w:rsidR="00705785">
        <w:rPr>
          <w:rFonts w:cs="Times New Roman"/>
          <w:i/>
          <w:szCs w:val="24"/>
        </w:rPr>
        <w:t>ь</w:t>
      </w:r>
      <w:r w:rsidRPr="00514D6E">
        <w:rPr>
          <w:rFonts w:cs="Times New Roman"/>
          <w:i/>
          <w:szCs w:val="24"/>
        </w:rPr>
        <w:t xml:space="preserve"> 201</w:t>
      </w:r>
      <w:r w:rsidR="00DD25E3">
        <w:rPr>
          <w:rFonts w:cs="Times New Roman"/>
          <w:i/>
          <w:szCs w:val="24"/>
        </w:rPr>
        <w:t>2</w:t>
      </w:r>
      <w:r w:rsidRPr="00514D6E">
        <w:rPr>
          <w:rFonts w:cs="Times New Roman"/>
          <w:i/>
          <w:szCs w:val="24"/>
        </w:rPr>
        <w:t xml:space="preserve"> года </w:t>
      </w:r>
    </w:p>
    <w:p w:rsidR="00D92EB1" w:rsidRDefault="00D92EB1" w:rsidP="00433A9E"/>
    <w:p w:rsidR="00C249DC" w:rsidRPr="00447FEF" w:rsidRDefault="00C249DC" w:rsidP="00433A9E">
      <w:r w:rsidRPr="00447FEF">
        <w:t>В разбивке по классам жилья были выявлены следующие ди</w:t>
      </w:r>
      <w:r w:rsidR="00776683" w:rsidRPr="00447FEF">
        <w:t>а</w:t>
      </w:r>
      <w:r w:rsidRPr="00447FEF">
        <w:t>пазоны:</w:t>
      </w:r>
    </w:p>
    <w:p w:rsidR="00C249DC" w:rsidRPr="00447FEF" w:rsidRDefault="00DE6B2D" w:rsidP="00433A9E">
      <w:r w:rsidRPr="00447FEF">
        <w:t>–</w:t>
      </w:r>
      <w:r w:rsidR="00C249DC" w:rsidRPr="00447FEF">
        <w:t xml:space="preserve"> эконом: </w:t>
      </w:r>
      <w:r w:rsidR="00EE480A" w:rsidRPr="00447FEF">
        <w:t>3</w:t>
      </w:r>
      <w:r w:rsidR="00447FEF" w:rsidRPr="00447FEF">
        <w:t>3</w:t>
      </w:r>
      <w:r w:rsidR="00C249DC" w:rsidRPr="00447FEF">
        <w:t>,</w:t>
      </w:r>
      <w:r w:rsidR="00447FEF" w:rsidRPr="00447FEF">
        <w:t>3</w:t>
      </w:r>
      <w:r w:rsidR="00C249DC" w:rsidRPr="00447FEF">
        <w:t> - </w:t>
      </w:r>
      <w:r w:rsidR="00447FEF" w:rsidRPr="00447FEF">
        <w:t>65</w:t>
      </w:r>
      <w:r w:rsidR="00C249DC" w:rsidRPr="00447FEF">
        <w:t>,</w:t>
      </w:r>
      <w:r w:rsidR="00447FEF" w:rsidRPr="00447FEF">
        <w:t>6</w:t>
      </w:r>
      <w:r w:rsidR="00C249DC" w:rsidRPr="00447FEF">
        <w:t> тыс. руб./к</w:t>
      </w:r>
      <w:r w:rsidR="00705785" w:rsidRPr="00447FEF">
        <w:t>в</w:t>
      </w:r>
      <w:r w:rsidR="00C249DC" w:rsidRPr="00447FEF">
        <w:t>. м;</w:t>
      </w:r>
    </w:p>
    <w:p w:rsidR="00C249DC" w:rsidRPr="00447FEF" w:rsidRDefault="00DE6B2D" w:rsidP="00433A9E">
      <w:r w:rsidRPr="00447FEF">
        <w:t>–</w:t>
      </w:r>
      <w:r w:rsidR="00C249DC" w:rsidRPr="00447FEF">
        <w:t xml:space="preserve"> стандарт: 3</w:t>
      </w:r>
      <w:r w:rsidR="00705785" w:rsidRPr="00447FEF">
        <w:t>9</w:t>
      </w:r>
      <w:r w:rsidR="00C249DC" w:rsidRPr="00447FEF">
        <w:t>,</w:t>
      </w:r>
      <w:r w:rsidR="00447FEF" w:rsidRPr="00447FEF">
        <w:t>4</w:t>
      </w:r>
      <w:r w:rsidR="00C249DC" w:rsidRPr="00447FEF">
        <w:t> - </w:t>
      </w:r>
      <w:r w:rsidR="00447FEF" w:rsidRPr="00447FEF">
        <w:t>91</w:t>
      </w:r>
      <w:r w:rsidR="00C249DC" w:rsidRPr="00447FEF">
        <w:t>,</w:t>
      </w:r>
      <w:r w:rsidR="00447FEF" w:rsidRPr="00447FEF">
        <w:t>3</w:t>
      </w:r>
      <w:r w:rsidR="00C249DC" w:rsidRPr="00447FEF">
        <w:t> тыс. руб./к</w:t>
      </w:r>
      <w:r w:rsidR="00705785" w:rsidRPr="00447FEF">
        <w:t>в</w:t>
      </w:r>
      <w:r w:rsidR="00C249DC" w:rsidRPr="00447FEF">
        <w:t>. м;</w:t>
      </w:r>
    </w:p>
    <w:p w:rsidR="00C249DC" w:rsidRPr="00447FEF" w:rsidRDefault="00DE6B2D" w:rsidP="00433A9E">
      <w:r w:rsidRPr="00447FEF">
        <w:t>–</w:t>
      </w:r>
      <w:r w:rsidR="00C249DC" w:rsidRPr="00447FEF">
        <w:t xml:space="preserve"> бизнес: </w:t>
      </w:r>
      <w:r w:rsidR="00705785" w:rsidRPr="00447FEF">
        <w:t>3</w:t>
      </w:r>
      <w:r w:rsidR="00447FEF" w:rsidRPr="00447FEF">
        <w:t>7</w:t>
      </w:r>
      <w:r w:rsidR="00C249DC" w:rsidRPr="00447FEF">
        <w:t>,</w:t>
      </w:r>
      <w:r w:rsidR="00447FEF" w:rsidRPr="00447FEF">
        <w:t>4</w:t>
      </w:r>
      <w:r w:rsidR="00C249DC" w:rsidRPr="00447FEF">
        <w:t> - </w:t>
      </w:r>
      <w:r w:rsidR="00705785" w:rsidRPr="00447FEF">
        <w:t>95</w:t>
      </w:r>
      <w:r w:rsidR="00C249DC" w:rsidRPr="00447FEF">
        <w:t>,0 тыс. руб./к</w:t>
      </w:r>
      <w:r w:rsidR="00705785" w:rsidRPr="00447FEF">
        <w:t>в</w:t>
      </w:r>
      <w:r w:rsidR="00C249DC" w:rsidRPr="00447FEF">
        <w:t>. м;</w:t>
      </w:r>
    </w:p>
    <w:p w:rsidR="00C249DC" w:rsidRPr="00447FEF" w:rsidRDefault="00DE6B2D" w:rsidP="00433A9E">
      <w:r w:rsidRPr="00447FEF">
        <w:t>–</w:t>
      </w:r>
      <w:r w:rsidR="00C249DC" w:rsidRPr="00447FEF">
        <w:t xml:space="preserve"> </w:t>
      </w:r>
      <w:proofErr w:type="spellStart"/>
      <w:r w:rsidR="00C249DC" w:rsidRPr="00447FEF">
        <w:t>премиум</w:t>
      </w:r>
      <w:proofErr w:type="spellEnd"/>
      <w:r w:rsidR="00C249DC" w:rsidRPr="00447FEF">
        <w:t xml:space="preserve">: </w:t>
      </w:r>
      <w:r w:rsidR="00EE480A" w:rsidRPr="00447FEF">
        <w:t>5</w:t>
      </w:r>
      <w:r w:rsidR="00447FEF" w:rsidRPr="00447FEF">
        <w:t>5</w:t>
      </w:r>
      <w:r w:rsidR="00C249DC" w:rsidRPr="00447FEF">
        <w:t>,</w:t>
      </w:r>
      <w:r w:rsidR="00447FEF" w:rsidRPr="00447FEF">
        <w:t>3</w:t>
      </w:r>
      <w:r w:rsidR="00C249DC" w:rsidRPr="00447FEF">
        <w:t> - 1</w:t>
      </w:r>
      <w:r w:rsidR="00447FEF" w:rsidRPr="00447FEF">
        <w:t>50</w:t>
      </w:r>
      <w:r w:rsidR="00C249DC" w:rsidRPr="00447FEF">
        <w:t>,</w:t>
      </w:r>
      <w:r w:rsidR="00447FEF" w:rsidRPr="00447FEF">
        <w:t>0</w:t>
      </w:r>
      <w:r w:rsidR="00C249DC" w:rsidRPr="00447FEF">
        <w:t> тыс. руб./к</w:t>
      </w:r>
      <w:r w:rsidR="00705785" w:rsidRPr="00447FEF">
        <w:t>в</w:t>
      </w:r>
      <w:r w:rsidR="00C249DC" w:rsidRPr="00447FEF">
        <w:t>. м.</w:t>
      </w:r>
    </w:p>
    <w:p w:rsidR="00C249DC" w:rsidRPr="00552080" w:rsidRDefault="0040279F" w:rsidP="00433A9E">
      <w:r w:rsidRPr="00552080">
        <w:lastRenderedPageBreak/>
        <w:t xml:space="preserve">По самой низкой цене выставлены на реализацию квартиры эконом класса, в среднем по </w:t>
      </w:r>
      <w:r w:rsidR="006C7309" w:rsidRPr="00552080">
        <w:t>4</w:t>
      </w:r>
      <w:r w:rsidR="00552080" w:rsidRPr="00552080">
        <w:t>7</w:t>
      </w:r>
      <w:r w:rsidRPr="00552080">
        <w:t>,</w:t>
      </w:r>
      <w:r w:rsidR="00705785" w:rsidRPr="00552080">
        <w:t>0</w:t>
      </w:r>
      <w:r w:rsidRPr="00552080">
        <w:t xml:space="preserve"> тыс. руб. за кв. м. Наиболее дорогие квартиры представлены в сегменте </w:t>
      </w:r>
      <w:proofErr w:type="spellStart"/>
      <w:r w:rsidRPr="00552080">
        <w:t>премиум</w:t>
      </w:r>
      <w:proofErr w:type="spellEnd"/>
      <w:r w:rsidRPr="00552080">
        <w:t xml:space="preserve"> класса – 1</w:t>
      </w:r>
      <w:r w:rsidR="00705785" w:rsidRPr="00552080">
        <w:t>0</w:t>
      </w:r>
      <w:r w:rsidR="00552080" w:rsidRPr="00552080">
        <w:t>6</w:t>
      </w:r>
      <w:r w:rsidRPr="00552080">
        <w:t>,</w:t>
      </w:r>
      <w:r w:rsidR="00552080" w:rsidRPr="00552080">
        <w:t>7</w:t>
      </w:r>
      <w:r w:rsidRPr="00552080">
        <w:t> тыс. руб. за кв. м.</w:t>
      </w:r>
    </w:p>
    <w:p w:rsidR="00A20C6E" w:rsidRPr="00453DEE" w:rsidRDefault="00552080" w:rsidP="00A20C6E">
      <w:pPr>
        <w:spacing w:after="0"/>
        <w:jc w:val="center"/>
        <w:rPr>
          <w:rFonts w:cs="Times New Roman"/>
          <w:szCs w:val="24"/>
          <w:highlight w:val="yellow"/>
        </w:rPr>
      </w:pPr>
      <w:r w:rsidRPr="00552080">
        <w:rPr>
          <w:rFonts w:cs="Times New Roman"/>
          <w:noProof/>
          <w:szCs w:val="24"/>
          <w:lang w:eastAsia="ru-RU"/>
        </w:rPr>
        <w:drawing>
          <wp:inline distT="0" distB="0" distL="0" distR="0">
            <wp:extent cx="4562475" cy="2028825"/>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7A61" w:rsidRPr="00AC7A61" w:rsidRDefault="00AC7A61" w:rsidP="00C206A6">
      <w:pPr>
        <w:spacing w:after="0"/>
        <w:jc w:val="center"/>
        <w:rPr>
          <w:rFonts w:cs="Times New Roman"/>
          <w:i/>
          <w:szCs w:val="24"/>
        </w:rPr>
      </w:pPr>
      <w:r w:rsidRPr="00552080">
        <w:rPr>
          <w:rFonts w:cs="Times New Roman"/>
          <w:i/>
          <w:szCs w:val="24"/>
        </w:rPr>
        <w:t>Рис. Средние удельные цены</w:t>
      </w:r>
      <w:r w:rsidR="00C206A6">
        <w:rPr>
          <w:rFonts w:cs="Times New Roman"/>
          <w:i/>
          <w:szCs w:val="24"/>
        </w:rPr>
        <w:t xml:space="preserve"> на </w:t>
      </w:r>
      <w:r w:rsidRPr="00552080">
        <w:rPr>
          <w:rFonts w:cs="Times New Roman"/>
          <w:i/>
          <w:szCs w:val="24"/>
        </w:rPr>
        <w:t>первично</w:t>
      </w:r>
      <w:r w:rsidR="00C206A6">
        <w:rPr>
          <w:rFonts w:cs="Times New Roman"/>
          <w:i/>
          <w:szCs w:val="24"/>
        </w:rPr>
        <w:t>м</w:t>
      </w:r>
      <w:r w:rsidRPr="00552080">
        <w:rPr>
          <w:rFonts w:cs="Times New Roman"/>
          <w:i/>
          <w:szCs w:val="24"/>
        </w:rPr>
        <w:t xml:space="preserve"> рынк</w:t>
      </w:r>
      <w:r w:rsidR="00C206A6">
        <w:rPr>
          <w:rFonts w:cs="Times New Roman"/>
          <w:i/>
          <w:szCs w:val="24"/>
        </w:rPr>
        <w:t>е жилой недвижимости</w:t>
      </w:r>
      <w:r w:rsidRPr="00552080">
        <w:rPr>
          <w:rFonts w:cs="Times New Roman"/>
          <w:i/>
          <w:szCs w:val="24"/>
        </w:rPr>
        <w:t xml:space="preserve"> с разбивкой по классам жилья, </w:t>
      </w:r>
      <w:r w:rsidR="00552080" w:rsidRPr="00552080">
        <w:rPr>
          <w:rFonts w:cs="Times New Roman"/>
          <w:i/>
          <w:szCs w:val="24"/>
        </w:rPr>
        <w:t>сентябр</w:t>
      </w:r>
      <w:r w:rsidR="00705785" w:rsidRPr="00552080">
        <w:rPr>
          <w:rFonts w:cs="Times New Roman"/>
          <w:i/>
          <w:szCs w:val="24"/>
        </w:rPr>
        <w:t>ь</w:t>
      </w:r>
      <w:r w:rsidRPr="00552080">
        <w:rPr>
          <w:rFonts w:cs="Times New Roman"/>
          <w:i/>
          <w:szCs w:val="24"/>
        </w:rPr>
        <w:t xml:space="preserve"> 201</w:t>
      </w:r>
      <w:r w:rsidR="00DD25E3" w:rsidRPr="00552080">
        <w:rPr>
          <w:rFonts w:cs="Times New Roman"/>
          <w:i/>
          <w:szCs w:val="24"/>
        </w:rPr>
        <w:t>2</w:t>
      </w:r>
      <w:r w:rsidRPr="00552080">
        <w:rPr>
          <w:rFonts w:cs="Times New Roman"/>
          <w:i/>
          <w:szCs w:val="24"/>
        </w:rPr>
        <w:t xml:space="preserve"> года</w:t>
      </w:r>
    </w:p>
    <w:p w:rsidR="00A20C6E" w:rsidRPr="00151C7C" w:rsidRDefault="00A20C6E" w:rsidP="00433A9E"/>
    <w:p w:rsidR="006E4D85" w:rsidRPr="005E5A01" w:rsidRDefault="005E5A01" w:rsidP="00CE052A">
      <w:pPr>
        <w:pStyle w:val="2"/>
      </w:pPr>
      <w:bookmarkStart w:id="3" w:name="_Toc351452801"/>
      <w:r>
        <w:t>1.3.</w:t>
      </w:r>
      <w:r w:rsidR="00CE052A">
        <w:t> </w:t>
      </w:r>
      <w:r w:rsidR="006E4D85" w:rsidRPr="005E5A01">
        <w:t>Зависимость сред</w:t>
      </w:r>
      <w:r w:rsidR="00CE052A">
        <w:t>ней цены от срока сдачи объекта</w:t>
      </w:r>
      <w:bookmarkEnd w:id="3"/>
    </w:p>
    <w:p w:rsidR="00151C7C" w:rsidRDefault="00151C7C" w:rsidP="00433A9E">
      <w:r>
        <w:t xml:space="preserve">Была выявлена </w:t>
      </w:r>
      <w:r w:rsidRPr="00151C7C">
        <w:t>зависимост</w:t>
      </w:r>
      <w:r>
        <w:t>ь цены квадратного метра жилой недвижимости г. Тюмени на первичном рынке</w:t>
      </w:r>
      <w:r w:rsidRPr="00151C7C">
        <w:t xml:space="preserve"> от срока сдачи</w:t>
      </w:r>
      <w:r>
        <w:t xml:space="preserve"> объекта. Квартиры в сданных домах предлагают по цене выше, чем со сроком сдачи 2012-2014 гг.</w:t>
      </w:r>
      <w:r w:rsidR="00A85454">
        <w:t xml:space="preserve"> </w:t>
      </w:r>
    </w:p>
    <w:p w:rsidR="00A85454" w:rsidRDefault="00A85454" w:rsidP="00433A9E"/>
    <w:p w:rsidR="00151C7C" w:rsidRDefault="00151C7C" w:rsidP="00A85454">
      <w:pPr>
        <w:spacing w:after="0"/>
        <w:jc w:val="center"/>
        <w:rPr>
          <w:rFonts w:cs="Times New Roman"/>
          <w:szCs w:val="24"/>
        </w:rPr>
      </w:pPr>
      <w:r w:rsidRPr="00151C7C">
        <w:rPr>
          <w:rFonts w:cs="Times New Roman"/>
          <w:noProof/>
          <w:szCs w:val="24"/>
          <w:lang w:eastAsia="ru-RU"/>
        </w:rPr>
        <w:drawing>
          <wp:inline distT="0" distB="0" distL="0" distR="0">
            <wp:extent cx="4566709" cy="2169584"/>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454" w:rsidRDefault="00A85454" w:rsidP="00C206A6">
      <w:pPr>
        <w:spacing w:after="0"/>
        <w:jc w:val="center"/>
        <w:rPr>
          <w:rFonts w:cs="Times New Roman"/>
          <w:szCs w:val="24"/>
        </w:rPr>
      </w:pPr>
      <w:r w:rsidRPr="00C206A6">
        <w:rPr>
          <w:rFonts w:cs="Times New Roman"/>
          <w:i/>
          <w:szCs w:val="24"/>
        </w:rPr>
        <w:t>Рис.</w:t>
      </w:r>
      <w:r>
        <w:rPr>
          <w:rFonts w:cs="Times New Roman"/>
          <w:szCs w:val="24"/>
        </w:rPr>
        <w:t xml:space="preserve"> </w:t>
      </w:r>
      <w:r w:rsidR="00C206A6" w:rsidRPr="00552080">
        <w:rPr>
          <w:rFonts w:cs="Times New Roman"/>
          <w:i/>
          <w:szCs w:val="24"/>
        </w:rPr>
        <w:t>Средние удельные цены</w:t>
      </w:r>
      <w:r w:rsidR="00C206A6">
        <w:rPr>
          <w:rFonts w:cs="Times New Roman"/>
          <w:i/>
          <w:szCs w:val="24"/>
        </w:rPr>
        <w:t xml:space="preserve"> на </w:t>
      </w:r>
      <w:r w:rsidR="00C206A6" w:rsidRPr="00552080">
        <w:rPr>
          <w:rFonts w:cs="Times New Roman"/>
          <w:i/>
          <w:szCs w:val="24"/>
        </w:rPr>
        <w:t>первично</w:t>
      </w:r>
      <w:r w:rsidR="00C206A6">
        <w:rPr>
          <w:rFonts w:cs="Times New Roman"/>
          <w:i/>
          <w:szCs w:val="24"/>
        </w:rPr>
        <w:t>м</w:t>
      </w:r>
      <w:r w:rsidR="00C206A6" w:rsidRPr="00552080">
        <w:rPr>
          <w:rFonts w:cs="Times New Roman"/>
          <w:i/>
          <w:szCs w:val="24"/>
        </w:rPr>
        <w:t xml:space="preserve"> рынк</w:t>
      </w:r>
      <w:r w:rsidR="00C206A6">
        <w:rPr>
          <w:rFonts w:cs="Times New Roman"/>
          <w:i/>
          <w:szCs w:val="24"/>
        </w:rPr>
        <w:t>е жилой недвижимости</w:t>
      </w:r>
      <w:r w:rsidR="00C206A6" w:rsidRPr="00552080">
        <w:rPr>
          <w:rFonts w:cs="Times New Roman"/>
          <w:i/>
          <w:szCs w:val="24"/>
        </w:rPr>
        <w:t xml:space="preserve"> с разбивкой по </w:t>
      </w:r>
      <w:r w:rsidR="00C206A6">
        <w:rPr>
          <w:rFonts w:cs="Times New Roman"/>
          <w:i/>
          <w:szCs w:val="24"/>
        </w:rPr>
        <w:t>срокам сдачи</w:t>
      </w:r>
      <w:r w:rsidR="00C206A6" w:rsidRPr="00552080">
        <w:rPr>
          <w:rFonts w:cs="Times New Roman"/>
          <w:i/>
          <w:szCs w:val="24"/>
        </w:rPr>
        <w:t>, сентябрь 2012 года</w:t>
      </w:r>
    </w:p>
    <w:p w:rsidR="00AF3879" w:rsidRDefault="00AF3879" w:rsidP="00433A9E"/>
    <w:p w:rsidR="00AF3879" w:rsidRDefault="00AF3879" w:rsidP="00433A9E">
      <w:r>
        <w:t>Средняя цена на объекты со сроком сдачи 2014 г. выше чем</w:t>
      </w:r>
      <w:r w:rsidR="00DF1CCF">
        <w:t xml:space="preserve"> со</w:t>
      </w:r>
      <w:r>
        <w:t xml:space="preserve"> срок</w:t>
      </w:r>
      <w:r w:rsidR="00DF1CCF">
        <w:t>ом</w:t>
      </w:r>
      <w:r>
        <w:t xml:space="preserve"> сдачи 2013 г. в связи с тем, что, во-первых, число объектов выборки на 2014 год меньше на </w:t>
      </w:r>
      <w:r w:rsidR="00DF1CCF">
        <w:t>43</w:t>
      </w:r>
      <w:r>
        <w:t>%</w:t>
      </w:r>
      <w:r w:rsidR="00DF1CCF">
        <w:t>,</w:t>
      </w:r>
      <w:r>
        <w:t xml:space="preserve"> чем на 2013</w:t>
      </w:r>
      <w:r w:rsidR="00DF1CCF">
        <w:t xml:space="preserve"> г.,</w:t>
      </w:r>
      <w:r>
        <w:t xml:space="preserve"> а разброс цен больше, и максимальная цена составила 150 тыс</w:t>
      </w:r>
      <w:r w:rsidR="00DF1CCF">
        <w:t>. руб. за</w:t>
      </w:r>
      <w:r w:rsidR="00DF1CCF" w:rsidRPr="00DF1CCF">
        <w:t xml:space="preserve"> </w:t>
      </w:r>
      <w:r w:rsidR="00DF1CCF">
        <w:t>к</w:t>
      </w:r>
      <w:r w:rsidR="00DF1CCF" w:rsidRPr="00DF1CCF">
        <w:t>в</w:t>
      </w:r>
      <w:r w:rsidR="00DF1CCF">
        <w:t>. м</w:t>
      </w:r>
      <w:r>
        <w:t>, по сравнению с максимальной ценой в 2013</w:t>
      </w:r>
      <w:r w:rsidR="00DF1CCF">
        <w:t xml:space="preserve"> г. (80</w:t>
      </w:r>
      <w:r w:rsidR="00DF1CCF" w:rsidRPr="00DF1CCF">
        <w:t xml:space="preserve"> </w:t>
      </w:r>
      <w:r w:rsidR="00DF1CCF">
        <w:t>тыс. руб. за</w:t>
      </w:r>
      <w:r w:rsidR="00DF1CCF" w:rsidRPr="00DF1CCF">
        <w:t xml:space="preserve"> </w:t>
      </w:r>
      <w:r w:rsidR="00DF1CCF">
        <w:t>к</w:t>
      </w:r>
      <w:r w:rsidR="00DF1CCF" w:rsidRPr="00DF1CCF">
        <w:t>в</w:t>
      </w:r>
      <w:r w:rsidR="00DF1CCF">
        <w:t>. м)</w:t>
      </w:r>
      <w:r>
        <w:t>.</w:t>
      </w:r>
    </w:p>
    <w:p w:rsidR="00433A9E" w:rsidRDefault="00433A9E" w:rsidP="00433A9E"/>
    <w:p w:rsidR="00AF3879" w:rsidRPr="00CE052A" w:rsidRDefault="00DF1CCF" w:rsidP="00433A9E">
      <w:pPr>
        <w:spacing w:after="0"/>
        <w:ind w:firstLine="0"/>
        <w:jc w:val="center"/>
        <w:rPr>
          <w:rFonts w:cs="Times New Roman"/>
          <w:b/>
          <w:szCs w:val="24"/>
        </w:rPr>
      </w:pPr>
      <w:r w:rsidRPr="00CE052A">
        <w:rPr>
          <w:rFonts w:cs="Times New Roman"/>
          <w:b/>
          <w:szCs w:val="24"/>
        </w:rPr>
        <w:t>Цены за квадратный метр в зависимости от срока сдачи объекта</w:t>
      </w:r>
    </w:p>
    <w:tbl>
      <w:tblPr>
        <w:tblStyle w:val="a8"/>
        <w:tblW w:w="5000" w:type="pct"/>
        <w:jc w:val="center"/>
        <w:tblLook w:val="04A0"/>
      </w:tblPr>
      <w:tblGrid>
        <w:gridCol w:w="2028"/>
        <w:gridCol w:w="2028"/>
        <w:gridCol w:w="2027"/>
        <w:gridCol w:w="2027"/>
        <w:gridCol w:w="2027"/>
      </w:tblGrid>
      <w:tr w:rsidR="00AA2F80" w:rsidRPr="00433A9E" w:rsidTr="00433A9E">
        <w:trPr>
          <w:jc w:val="center"/>
        </w:trPr>
        <w:tc>
          <w:tcPr>
            <w:tcW w:w="1000" w:type="pct"/>
            <w:vAlign w:val="center"/>
          </w:tcPr>
          <w:p w:rsidR="00AA2F80" w:rsidRPr="00433A9E" w:rsidRDefault="00AA2F80" w:rsidP="00433A9E">
            <w:pPr>
              <w:spacing w:after="0"/>
              <w:ind w:firstLine="0"/>
              <w:jc w:val="center"/>
              <w:rPr>
                <w:rFonts w:cs="Times New Roman"/>
                <w:sz w:val="20"/>
              </w:rPr>
            </w:pPr>
            <w:r w:rsidRPr="00433A9E">
              <w:rPr>
                <w:rFonts w:cs="Times New Roman"/>
                <w:sz w:val="20"/>
              </w:rPr>
              <w:t>Срок сдачи объекта</w:t>
            </w:r>
          </w:p>
        </w:tc>
        <w:tc>
          <w:tcPr>
            <w:tcW w:w="1000" w:type="pct"/>
            <w:vAlign w:val="center"/>
          </w:tcPr>
          <w:p w:rsidR="00AA2F80" w:rsidRPr="00433A9E" w:rsidRDefault="00AA2F80" w:rsidP="00433A9E">
            <w:pPr>
              <w:spacing w:after="0"/>
              <w:ind w:firstLine="0"/>
              <w:jc w:val="center"/>
              <w:rPr>
                <w:rFonts w:cs="Times New Roman"/>
                <w:sz w:val="20"/>
              </w:rPr>
            </w:pPr>
            <w:r w:rsidRPr="00433A9E">
              <w:rPr>
                <w:rFonts w:cs="Times New Roman"/>
                <w:sz w:val="20"/>
              </w:rPr>
              <w:t>Количество новостроек, участвующих в выборке</w:t>
            </w:r>
          </w:p>
        </w:tc>
        <w:tc>
          <w:tcPr>
            <w:tcW w:w="1000" w:type="pct"/>
            <w:vAlign w:val="center"/>
          </w:tcPr>
          <w:p w:rsidR="00AA2F80" w:rsidRPr="00433A9E" w:rsidRDefault="00AA2F80" w:rsidP="00433A9E">
            <w:pPr>
              <w:spacing w:after="0"/>
              <w:ind w:firstLine="0"/>
              <w:jc w:val="center"/>
              <w:rPr>
                <w:rFonts w:cs="Times New Roman"/>
                <w:sz w:val="20"/>
              </w:rPr>
            </w:pPr>
            <w:r w:rsidRPr="00433A9E">
              <w:rPr>
                <w:rFonts w:cs="Times New Roman"/>
                <w:sz w:val="20"/>
              </w:rPr>
              <w:t>Минимум, руб./кв.м</w:t>
            </w:r>
          </w:p>
        </w:tc>
        <w:tc>
          <w:tcPr>
            <w:tcW w:w="1000" w:type="pct"/>
            <w:vAlign w:val="center"/>
          </w:tcPr>
          <w:p w:rsidR="00AA2F80" w:rsidRPr="00433A9E" w:rsidRDefault="00AA2F80" w:rsidP="00433A9E">
            <w:pPr>
              <w:spacing w:after="0"/>
              <w:ind w:firstLine="0"/>
              <w:jc w:val="center"/>
              <w:rPr>
                <w:rFonts w:cs="Times New Roman"/>
                <w:sz w:val="20"/>
              </w:rPr>
            </w:pPr>
            <w:r w:rsidRPr="00433A9E">
              <w:rPr>
                <w:rFonts w:cs="Times New Roman"/>
                <w:sz w:val="20"/>
              </w:rPr>
              <w:t>Средняя цена, руб./кв.м</w:t>
            </w:r>
          </w:p>
        </w:tc>
        <w:tc>
          <w:tcPr>
            <w:tcW w:w="1000" w:type="pct"/>
            <w:vAlign w:val="center"/>
          </w:tcPr>
          <w:p w:rsidR="00AA2F80" w:rsidRPr="00433A9E" w:rsidRDefault="00AA2F80" w:rsidP="00433A9E">
            <w:pPr>
              <w:spacing w:after="0"/>
              <w:ind w:firstLine="0"/>
              <w:jc w:val="center"/>
              <w:rPr>
                <w:rFonts w:cs="Times New Roman"/>
                <w:sz w:val="20"/>
              </w:rPr>
            </w:pPr>
            <w:r w:rsidRPr="00433A9E">
              <w:rPr>
                <w:rFonts w:cs="Times New Roman"/>
                <w:sz w:val="20"/>
              </w:rPr>
              <w:t>Максимум, руб./кв.м</w:t>
            </w:r>
          </w:p>
        </w:tc>
      </w:tr>
      <w:tr w:rsidR="00AA2F80" w:rsidRPr="00433A9E" w:rsidTr="00433A9E">
        <w:trPr>
          <w:jc w:val="center"/>
        </w:trPr>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Дом сдан</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29</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35 000</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61 251</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149 170</w:t>
            </w:r>
          </w:p>
        </w:tc>
      </w:tr>
      <w:tr w:rsidR="00AA2F80" w:rsidRPr="00433A9E" w:rsidTr="00433A9E">
        <w:trPr>
          <w:jc w:val="center"/>
        </w:trPr>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Сдача 2012</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30</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39 512</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57 199</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95 000</w:t>
            </w:r>
          </w:p>
        </w:tc>
      </w:tr>
      <w:tr w:rsidR="00AA2F80" w:rsidRPr="00433A9E" w:rsidTr="00433A9E">
        <w:trPr>
          <w:jc w:val="center"/>
        </w:trPr>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Сдача 2013</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47</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33 250</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52 187</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80 000</w:t>
            </w:r>
          </w:p>
        </w:tc>
      </w:tr>
      <w:tr w:rsidR="00AA2F80" w:rsidRPr="00433A9E" w:rsidTr="00433A9E">
        <w:trPr>
          <w:jc w:val="center"/>
        </w:trPr>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Сдача 2014</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27</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34 000</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56 168</w:t>
            </w:r>
          </w:p>
        </w:tc>
        <w:tc>
          <w:tcPr>
            <w:tcW w:w="1000" w:type="pct"/>
            <w:vAlign w:val="center"/>
          </w:tcPr>
          <w:p w:rsidR="00AA2F80" w:rsidRPr="00433A9E" w:rsidRDefault="00AA2F80" w:rsidP="00433A9E">
            <w:pPr>
              <w:spacing w:after="0"/>
              <w:ind w:firstLine="0"/>
              <w:jc w:val="center"/>
              <w:rPr>
                <w:rFonts w:cs="Times New Roman"/>
                <w:color w:val="000000"/>
                <w:sz w:val="20"/>
              </w:rPr>
            </w:pPr>
            <w:r w:rsidRPr="00433A9E">
              <w:rPr>
                <w:rFonts w:cs="Times New Roman"/>
                <w:color w:val="000000"/>
                <w:sz w:val="20"/>
              </w:rPr>
              <w:t>150 000</w:t>
            </w:r>
          </w:p>
        </w:tc>
      </w:tr>
    </w:tbl>
    <w:p w:rsidR="00AF3879" w:rsidRDefault="00AF3879" w:rsidP="00433A9E"/>
    <w:p w:rsidR="00A85454" w:rsidRDefault="00AF3879" w:rsidP="00433A9E">
      <w:r>
        <w:t>В 2015 году заявлен к сдаче лишь 1 объект – по ул. Фабричной, 7, застройщик ЗАО «</w:t>
      </w:r>
      <w:proofErr w:type="spellStart"/>
      <w:r>
        <w:t>Арман</w:t>
      </w:r>
      <w:proofErr w:type="spellEnd"/>
      <w:r>
        <w:t xml:space="preserve"> </w:t>
      </w:r>
      <w:proofErr w:type="spellStart"/>
      <w:r>
        <w:t>Технолоджи</w:t>
      </w:r>
      <w:proofErr w:type="spellEnd"/>
      <w:r>
        <w:t>» – средняя цена по всем типам квартир составила 91,2 тыс. руб. за кв. м.</w:t>
      </w:r>
    </w:p>
    <w:p w:rsidR="00731ECB" w:rsidRDefault="00731ECB" w:rsidP="00433A9E"/>
    <w:p w:rsidR="006E4D85" w:rsidRPr="005E5A01" w:rsidRDefault="005E5A01" w:rsidP="00CE052A">
      <w:pPr>
        <w:pStyle w:val="2"/>
      </w:pPr>
      <w:bookmarkStart w:id="4" w:name="_Toc351452802"/>
      <w:r>
        <w:t>1.4.</w:t>
      </w:r>
      <w:r w:rsidR="00CE052A">
        <w:t> </w:t>
      </w:r>
      <w:r w:rsidR="006E4D85" w:rsidRPr="005E5A01">
        <w:t xml:space="preserve">Распределение объемов </w:t>
      </w:r>
      <w:r w:rsidR="00CE052A">
        <w:t>строительства по районам города</w:t>
      </w:r>
      <w:bookmarkEnd w:id="4"/>
    </w:p>
    <w:p w:rsidR="000F78B7" w:rsidRDefault="000F78B7" w:rsidP="00433A9E">
      <w:r>
        <w:t xml:space="preserve">По состоянию на сентябрь 2012 года объем строительства новостроек города составил </w:t>
      </w:r>
      <w:r w:rsidR="0071031F">
        <w:t>п</w:t>
      </w:r>
      <w:r w:rsidR="00F81716">
        <w:t>орядка</w:t>
      </w:r>
      <w:r w:rsidR="0071031F">
        <w:t xml:space="preserve"> </w:t>
      </w:r>
      <w:r>
        <w:t>1</w:t>
      </w:r>
      <w:r w:rsidR="0071031F">
        <w:t>,2</w:t>
      </w:r>
      <w:r>
        <w:t xml:space="preserve"> </w:t>
      </w:r>
      <w:r w:rsidR="0071031F">
        <w:t>млн</w:t>
      </w:r>
      <w:r>
        <w:t>. кв. м жилья</w:t>
      </w:r>
      <w:r w:rsidR="00ED7A66">
        <w:t>.</w:t>
      </w:r>
    </w:p>
    <w:p w:rsidR="00FC3141" w:rsidRDefault="00FC3141" w:rsidP="00433A9E">
      <w:r>
        <w:t xml:space="preserve">Как видно на рисунке ниже, </w:t>
      </w:r>
      <w:r w:rsidR="00932226">
        <w:t xml:space="preserve">по состоянию на сентябрь 2012 г. </w:t>
      </w:r>
      <w:r>
        <w:t>большие объемы строительства приход</w:t>
      </w:r>
      <w:r w:rsidR="00932226">
        <w:t>я</w:t>
      </w:r>
      <w:r>
        <w:t xml:space="preserve">тся на </w:t>
      </w:r>
      <w:r w:rsidR="00932226">
        <w:t>Ц</w:t>
      </w:r>
      <w:r>
        <w:t xml:space="preserve">ентральную часть города, </w:t>
      </w:r>
      <w:r w:rsidR="00E32A66">
        <w:t xml:space="preserve">Тюменский и </w:t>
      </w:r>
      <w:r w:rsidR="00932226">
        <w:t>З</w:t>
      </w:r>
      <w:r w:rsidR="00A17D7F">
        <w:t xml:space="preserve">аречные микрорайоны </w:t>
      </w:r>
      <w:r w:rsidR="00932226">
        <w:t>(</w:t>
      </w:r>
      <w:r w:rsidR="00091493">
        <w:t xml:space="preserve">в этих районах находится </w:t>
      </w:r>
      <w:r w:rsidR="00A17D7F">
        <w:t>62</w:t>
      </w:r>
      <w:r w:rsidR="00932226">
        <w:t>% от всей совокупности новостроек города).</w:t>
      </w:r>
    </w:p>
    <w:p w:rsidR="00FF1033" w:rsidRDefault="00FF1033" w:rsidP="00433A9E"/>
    <w:p w:rsidR="00A85454" w:rsidRDefault="00A17D7F" w:rsidP="00FC3141">
      <w:pPr>
        <w:spacing w:after="0"/>
        <w:jc w:val="center"/>
        <w:rPr>
          <w:rFonts w:cs="Times New Roman"/>
          <w:szCs w:val="24"/>
        </w:rPr>
      </w:pPr>
      <w:r w:rsidRPr="00A17D7F">
        <w:rPr>
          <w:rFonts w:cs="Times New Roman"/>
          <w:noProof/>
          <w:szCs w:val="24"/>
          <w:lang w:eastAsia="ru-RU"/>
        </w:rPr>
        <w:drawing>
          <wp:inline distT="0" distB="0" distL="0" distR="0">
            <wp:extent cx="4878917" cy="3142191"/>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3141" w:rsidRPr="00CE052A" w:rsidRDefault="00FC3141" w:rsidP="00CE052A">
      <w:pPr>
        <w:jc w:val="center"/>
        <w:rPr>
          <w:rFonts w:cs="Times New Roman"/>
          <w:i/>
        </w:rPr>
      </w:pPr>
      <w:r w:rsidRPr="00CE052A">
        <w:rPr>
          <w:rFonts w:cs="Times New Roman"/>
          <w:i/>
        </w:rPr>
        <w:t>Рис.</w:t>
      </w:r>
      <w:r w:rsidR="00932226" w:rsidRPr="00CE052A">
        <w:rPr>
          <w:rFonts w:cs="Times New Roman"/>
          <w:i/>
        </w:rPr>
        <w:t xml:space="preserve"> Распределение объемов строительства по районам города, сентябрь 2012 г.</w:t>
      </w:r>
    </w:p>
    <w:p w:rsidR="00FC3141" w:rsidRDefault="00FC3141" w:rsidP="00433A9E"/>
    <w:p w:rsidR="00A42C1E" w:rsidRDefault="00A42C1E">
      <w:pPr>
        <w:rPr>
          <w:rFonts w:cs="Times New Roman"/>
          <w:b/>
          <w:szCs w:val="24"/>
        </w:rPr>
      </w:pPr>
      <w:r>
        <w:rPr>
          <w:rFonts w:cs="Times New Roman"/>
          <w:b/>
          <w:szCs w:val="24"/>
        </w:rPr>
        <w:br w:type="page"/>
      </w:r>
    </w:p>
    <w:p w:rsidR="00854112" w:rsidRPr="00CE052A" w:rsidRDefault="00CE052A" w:rsidP="00CE052A">
      <w:pPr>
        <w:pStyle w:val="2"/>
      </w:pPr>
      <w:bookmarkStart w:id="5" w:name="_Toc351452803"/>
      <w:r>
        <w:lastRenderedPageBreak/>
        <w:t>1.5. О</w:t>
      </w:r>
      <w:r w:rsidRPr="00854112">
        <w:t>бзор цен предложения на первичном рынке недвижимости</w:t>
      </w:r>
      <w:r w:rsidR="00854112" w:rsidRPr="00854112">
        <w:t xml:space="preserve"> </w:t>
      </w:r>
      <w:r>
        <w:t>в</w:t>
      </w:r>
      <w:r w:rsidR="00854112" w:rsidRPr="00854112">
        <w:t xml:space="preserve"> </w:t>
      </w:r>
      <w:r w:rsidR="00854112" w:rsidRPr="00CE052A">
        <w:t>Вос</w:t>
      </w:r>
      <w:r>
        <w:t>точном и Тюменском микрорайонах</w:t>
      </w:r>
      <w:bookmarkEnd w:id="5"/>
    </w:p>
    <w:p w:rsidR="00854112" w:rsidRDefault="00854112" w:rsidP="00433A9E"/>
    <w:p w:rsidR="002A68A6" w:rsidRDefault="002A68A6" w:rsidP="00433A9E">
      <w:r w:rsidRPr="002A68A6">
        <w:t xml:space="preserve">По состоянию на конец </w:t>
      </w:r>
      <w:r>
        <w:t>сентября 2012</w:t>
      </w:r>
      <w:r w:rsidRPr="002A68A6">
        <w:t xml:space="preserve"> года средняя цена предложения в районе </w:t>
      </w:r>
      <w:r>
        <w:t>Восточного</w:t>
      </w:r>
      <w:r>
        <w:rPr>
          <w:rStyle w:val="a7"/>
          <w:rFonts w:cs="Times New Roman"/>
          <w:szCs w:val="24"/>
        </w:rPr>
        <w:footnoteReference w:id="1"/>
      </w:r>
      <w:r w:rsidRPr="002A68A6">
        <w:t xml:space="preserve"> микрорайон</w:t>
      </w:r>
      <w:r>
        <w:t>а</w:t>
      </w:r>
      <w:r w:rsidRPr="002A68A6">
        <w:t xml:space="preserve"> составила </w:t>
      </w:r>
      <w:r>
        <w:t>4</w:t>
      </w:r>
      <w:r w:rsidRPr="002A68A6">
        <w:t>9 </w:t>
      </w:r>
      <w:r>
        <w:t>094</w:t>
      </w:r>
      <w:r w:rsidRPr="002A68A6">
        <w:t> руб. за кв. м или 2 8</w:t>
      </w:r>
      <w:r>
        <w:t>2</w:t>
      </w:r>
      <w:r w:rsidRPr="002A68A6">
        <w:t>4 тыс. руб. за объект в целом</w:t>
      </w:r>
      <w:r>
        <w:t>; в Тюменском микрорайоне средняя цена составила 47 812</w:t>
      </w:r>
      <w:r w:rsidRPr="002A68A6">
        <w:t xml:space="preserve"> руб. за кв. м или </w:t>
      </w:r>
      <w:r>
        <w:t>3</w:t>
      </w:r>
      <w:r w:rsidRPr="002A68A6">
        <w:t> </w:t>
      </w:r>
      <w:r>
        <w:t>305</w:t>
      </w:r>
      <w:r w:rsidRPr="002A68A6">
        <w:t> тыс. руб. за объект</w:t>
      </w:r>
      <w:r>
        <w:t>.</w:t>
      </w:r>
    </w:p>
    <w:p w:rsidR="002A68A6" w:rsidRDefault="002A68A6" w:rsidP="00433A9E"/>
    <w:p w:rsidR="002A68A6" w:rsidRPr="002A68A6" w:rsidRDefault="002A68A6" w:rsidP="00433A9E">
      <w:pPr>
        <w:spacing w:after="0"/>
        <w:jc w:val="center"/>
        <w:rPr>
          <w:rFonts w:cs="Times New Roman"/>
          <w:b/>
          <w:szCs w:val="24"/>
        </w:rPr>
      </w:pPr>
      <w:r w:rsidRPr="002A68A6">
        <w:rPr>
          <w:rFonts w:cs="Times New Roman"/>
          <w:b/>
          <w:szCs w:val="24"/>
        </w:rPr>
        <w:t>Цены предложения на рынке жилых новостроек в Восточном и Тюменском микрорайонах.</w:t>
      </w:r>
    </w:p>
    <w:tbl>
      <w:tblPr>
        <w:tblStyle w:val="a8"/>
        <w:tblW w:w="0" w:type="auto"/>
        <w:jc w:val="center"/>
        <w:tblLayout w:type="fixed"/>
        <w:tblLook w:val="04A0"/>
      </w:tblPr>
      <w:tblGrid>
        <w:gridCol w:w="1809"/>
        <w:gridCol w:w="1701"/>
        <w:gridCol w:w="1276"/>
        <w:gridCol w:w="1095"/>
        <w:gridCol w:w="1315"/>
        <w:gridCol w:w="1134"/>
        <w:gridCol w:w="1241"/>
      </w:tblGrid>
      <w:tr w:rsidR="00C03339" w:rsidRPr="002A68A6" w:rsidTr="00433A9E">
        <w:trPr>
          <w:jc w:val="center"/>
        </w:trPr>
        <w:tc>
          <w:tcPr>
            <w:tcW w:w="1809" w:type="dxa"/>
            <w:vAlign w:val="center"/>
          </w:tcPr>
          <w:p w:rsidR="00C03339" w:rsidRPr="002A68A6" w:rsidRDefault="00C03339" w:rsidP="00433A9E">
            <w:pPr>
              <w:spacing w:after="0"/>
              <w:ind w:firstLine="0"/>
              <w:jc w:val="center"/>
              <w:rPr>
                <w:rFonts w:cs="Times New Roman"/>
              </w:rPr>
            </w:pPr>
          </w:p>
        </w:tc>
        <w:tc>
          <w:tcPr>
            <w:tcW w:w="1701"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Кол-во домов, выставленных к продаже</w:t>
            </w:r>
          </w:p>
        </w:tc>
        <w:tc>
          <w:tcPr>
            <w:tcW w:w="1276"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Минимум, руб./кв.м</w:t>
            </w:r>
          </w:p>
        </w:tc>
        <w:tc>
          <w:tcPr>
            <w:tcW w:w="109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Средняя цена, руб./кв.м</w:t>
            </w:r>
          </w:p>
        </w:tc>
        <w:tc>
          <w:tcPr>
            <w:tcW w:w="131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Максимум, руб./кв.м</w:t>
            </w:r>
          </w:p>
        </w:tc>
        <w:tc>
          <w:tcPr>
            <w:tcW w:w="1134"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Средняя цена за объект, тыс.руб.</w:t>
            </w:r>
          </w:p>
        </w:tc>
        <w:tc>
          <w:tcPr>
            <w:tcW w:w="1241" w:type="dxa"/>
          </w:tcPr>
          <w:p w:rsidR="00C03339" w:rsidRPr="002A68A6" w:rsidRDefault="00C03339" w:rsidP="00433A9E">
            <w:pPr>
              <w:spacing w:after="0"/>
              <w:ind w:firstLine="0"/>
              <w:jc w:val="center"/>
              <w:rPr>
                <w:rFonts w:cs="Times New Roman"/>
                <w:color w:val="000000"/>
              </w:rPr>
            </w:pPr>
            <w:r>
              <w:rPr>
                <w:rFonts w:cs="Times New Roman"/>
                <w:color w:val="000000"/>
              </w:rPr>
              <w:t>Средняя площадь квартир, кв.м</w:t>
            </w:r>
          </w:p>
        </w:tc>
      </w:tr>
      <w:tr w:rsidR="00C03339" w:rsidRPr="002A68A6" w:rsidTr="00433A9E">
        <w:trPr>
          <w:jc w:val="center"/>
        </w:trPr>
        <w:tc>
          <w:tcPr>
            <w:tcW w:w="1809" w:type="dxa"/>
            <w:vAlign w:val="center"/>
          </w:tcPr>
          <w:p w:rsidR="00C03339" w:rsidRPr="002A68A6" w:rsidRDefault="00C03339" w:rsidP="00433A9E">
            <w:pPr>
              <w:spacing w:after="0"/>
              <w:ind w:firstLine="0"/>
              <w:jc w:val="center"/>
              <w:rPr>
                <w:rFonts w:cs="Times New Roman"/>
              </w:rPr>
            </w:pPr>
            <w:r w:rsidRPr="002A68A6">
              <w:rPr>
                <w:rFonts w:cs="Times New Roman"/>
              </w:rPr>
              <w:t xml:space="preserve">Восточный </w:t>
            </w:r>
            <w:proofErr w:type="spellStart"/>
            <w:r w:rsidRPr="002A68A6">
              <w:rPr>
                <w:rFonts w:cs="Times New Roman"/>
              </w:rPr>
              <w:t>мкр</w:t>
            </w:r>
            <w:proofErr w:type="spellEnd"/>
            <w:r w:rsidRPr="002A68A6">
              <w:rPr>
                <w:rFonts w:cs="Times New Roman"/>
              </w:rPr>
              <w:t>.</w:t>
            </w:r>
          </w:p>
        </w:tc>
        <w:tc>
          <w:tcPr>
            <w:tcW w:w="1701"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1</w:t>
            </w:r>
            <w:r w:rsidR="00A4176E">
              <w:rPr>
                <w:rFonts w:cs="Times New Roman"/>
                <w:color w:val="000000"/>
              </w:rPr>
              <w:t>3</w:t>
            </w:r>
          </w:p>
        </w:tc>
        <w:tc>
          <w:tcPr>
            <w:tcW w:w="1276"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39 512</w:t>
            </w:r>
          </w:p>
        </w:tc>
        <w:tc>
          <w:tcPr>
            <w:tcW w:w="109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49 094</w:t>
            </w:r>
          </w:p>
        </w:tc>
        <w:tc>
          <w:tcPr>
            <w:tcW w:w="131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56 686</w:t>
            </w:r>
          </w:p>
        </w:tc>
        <w:tc>
          <w:tcPr>
            <w:tcW w:w="1134"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2 824</w:t>
            </w:r>
          </w:p>
        </w:tc>
        <w:tc>
          <w:tcPr>
            <w:tcW w:w="1241" w:type="dxa"/>
          </w:tcPr>
          <w:p w:rsidR="00C03339" w:rsidRPr="002A68A6" w:rsidRDefault="00C03339" w:rsidP="00433A9E">
            <w:pPr>
              <w:spacing w:after="0"/>
              <w:ind w:firstLine="0"/>
              <w:jc w:val="center"/>
              <w:rPr>
                <w:rFonts w:cs="Times New Roman"/>
                <w:color w:val="000000"/>
              </w:rPr>
            </w:pPr>
            <w:r>
              <w:rPr>
                <w:rFonts w:cs="Times New Roman"/>
                <w:color w:val="000000"/>
              </w:rPr>
              <w:t>57,84</w:t>
            </w:r>
          </w:p>
        </w:tc>
      </w:tr>
      <w:tr w:rsidR="00C03339" w:rsidRPr="002A68A6" w:rsidTr="00433A9E">
        <w:trPr>
          <w:jc w:val="center"/>
        </w:trPr>
        <w:tc>
          <w:tcPr>
            <w:tcW w:w="1809" w:type="dxa"/>
            <w:vAlign w:val="center"/>
          </w:tcPr>
          <w:p w:rsidR="00C03339" w:rsidRPr="002A68A6" w:rsidRDefault="00C03339" w:rsidP="00433A9E">
            <w:pPr>
              <w:spacing w:after="0"/>
              <w:ind w:firstLine="0"/>
              <w:jc w:val="center"/>
              <w:rPr>
                <w:rFonts w:cs="Times New Roman"/>
              </w:rPr>
            </w:pPr>
            <w:r w:rsidRPr="002A68A6">
              <w:rPr>
                <w:rFonts w:cs="Times New Roman"/>
              </w:rPr>
              <w:t xml:space="preserve">Тюменский </w:t>
            </w:r>
            <w:proofErr w:type="spellStart"/>
            <w:r w:rsidRPr="002A68A6">
              <w:rPr>
                <w:rFonts w:cs="Times New Roman"/>
              </w:rPr>
              <w:t>мкр</w:t>
            </w:r>
            <w:proofErr w:type="spellEnd"/>
            <w:r w:rsidRPr="002A68A6">
              <w:rPr>
                <w:rFonts w:cs="Times New Roman"/>
              </w:rPr>
              <w:t>.</w:t>
            </w:r>
          </w:p>
        </w:tc>
        <w:tc>
          <w:tcPr>
            <w:tcW w:w="1701"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16</w:t>
            </w:r>
          </w:p>
        </w:tc>
        <w:tc>
          <w:tcPr>
            <w:tcW w:w="1276"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39 953</w:t>
            </w:r>
          </w:p>
        </w:tc>
        <w:tc>
          <w:tcPr>
            <w:tcW w:w="109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47 812</w:t>
            </w:r>
          </w:p>
        </w:tc>
        <w:tc>
          <w:tcPr>
            <w:tcW w:w="1315"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54 775</w:t>
            </w:r>
          </w:p>
        </w:tc>
        <w:tc>
          <w:tcPr>
            <w:tcW w:w="1134" w:type="dxa"/>
            <w:vAlign w:val="center"/>
          </w:tcPr>
          <w:p w:rsidR="00C03339" w:rsidRPr="002A68A6" w:rsidRDefault="00C03339" w:rsidP="00433A9E">
            <w:pPr>
              <w:spacing w:after="0"/>
              <w:ind w:firstLine="0"/>
              <w:jc w:val="center"/>
              <w:rPr>
                <w:rFonts w:cs="Times New Roman"/>
                <w:color w:val="000000"/>
              </w:rPr>
            </w:pPr>
            <w:r w:rsidRPr="002A68A6">
              <w:rPr>
                <w:rFonts w:cs="Times New Roman"/>
                <w:color w:val="000000"/>
              </w:rPr>
              <w:t>3 305</w:t>
            </w:r>
          </w:p>
        </w:tc>
        <w:tc>
          <w:tcPr>
            <w:tcW w:w="1241" w:type="dxa"/>
          </w:tcPr>
          <w:p w:rsidR="00C03339" w:rsidRPr="002A68A6" w:rsidRDefault="00C03339" w:rsidP="00433A9E">
            <w:pPr>
              <w:spacing w:after="0"/>
              <w:ind w:firstLine="0"/>
              <w:jc w:val="center"/>
              <w:rPr>
                <w:rFonts w:cs="Times New Roman"/>
                <w:color w:val="000000"/>
              </w:rPr>
            </w:pPr>
            <w:r>
              <w:rPr>
                <w:rFonts w:cs="Times New Roman"/>
                <w:color w:val="000000"/>
              </w:rPr>
              <w:t>69,41</w:t>
            </w:r>
          </w:p>
        </w:tc>
      </w:tr>
    </w:tbl>
    <w:p w:rsidR="004A0172" w:rsidRDefault="004A0172" w:rsidP="00433A9E"/>
    <w:p w:rsidR="004A0172" w:rsidRDefault="004A0172" w:rsidP="00433A9E">
      <w:r>
        <w:t>Ниже приведены средние цены по ведущим застройщикам Восточного и Тюменского микрорайонов, с указанием материала стен ст</w:t>
      </w:r>
      <w:r w:rsidR="00254774">
        <w:t>р</w:t>
      </w:r>
      <w:r>
        <w:t>оящегося объекта.</w:t>
      </w:r>
    </w:p>
    <w:p w:rsidR="004A0172" w:rsidRDefault="004A0172" w:rsidP="00433A9E"/>
    <w:p w:rsidR="002A68A6" w:rsidRPr="007204B9" w:rsidRDefault="004A0172" w:rsidP="00433A9E">
      <w:pPr>
        <w:spacing w:after="0"/>
        <w:ind w:firstLine="0"/>
        <w:jc w:val="center"/>
        <w:rPr>
          <w:rFonts w:cs="Times New Roman"/>
          <w:b/>
          <w:szCs w:val="24"/>
        </w:rPr>
      </w:pPr>
      <w:r w:rsidRPr="007204B9">
        <w:rPr>
          <w:rFonts w:cs="Times New Roman"/>
          <w:b/>
          <w:szCs w:val="24"/>
        </w:rPr>
        <w:t>Средние цены за квадрат в зависимости от застройщика и материала стен</w:t>
      </w:r>
    </w:p>
    <w:tbl>
      <w:tblPr>
        <w:tblStyle w:val="a8"/>
        <w:tblW w:w="9606" w:type="dxa"/>
        <w:jc w:val="center"/>
        <w:tblLook w:val="04A0"/>
      </w:tblPr>
      <w:tblGrid>
        <w:gridCol w:w="1384"/>
        <w:gridCol w:w="3260"/>
        <w:gridCol w:w="1701"/>
        <w:gridCol w:w="3261"/>
      </w:tblGrid>
      <w:tr w:rsidR="004A0172" w:rsidRPr="004A0172" w:rsidTr="00433A9E">
        <w:trPr>
          <w:jc w:val="center"/>
        </w:trPr>
        <w:tc>
          <w:tcPr>
            <w:tcW w:w="1384" w:type="dxa"/>
            <w:vAlign w:val="center"/>
          </w:tcPr>
          <w:p w:rsidR="004A0172" w:rsidRPr="004A0172" w:rsidRDefault="004A0172" w:rsidP="00433A9E">
            <w:pPr>
              <w:spacing w:after="0"/>
              <w:ind w:firstLine="0"/>
              <w:jc w:val="center"/>
              <w:rPr>
                <w:rFonts w:cs="Times New Roman"/>
              </w:rPr>
            </w:pPr>
            <w:r w:rsidRPr="004A0172">
              <w:rPr>
                <w:rFonts w:cs="Times New Roman"/>
              </w:rPr>
              <w:t>Район</w:t>
            </w:r>
          </w:p>
        </w:tc>
        <w:tc>
          <w:tcPr>
            <w:tcW w:w="3260" w:type="dxa"/>
            <w:vAlign w:val="center"/>
          </w:tcPr>
          <w:p w:rsidR="004A0172" w:rsidRPr="004A0172" w:rsidRDefault="004A0172" w:rsidP="00433A9E">
            <w:pPr>
              <w:spacing w:after="0"/>
              <w:ind w:firstLine="0"/>
              <w:jc w:val="center"/>
              <w:rPr>
                <w:rFonts w:cs="Times New Roman"/>
              </w:rPr>
            </w:pPr>
            <w:r w:rsidRPr="004A0172">
              <w:rPr>
                <w:rFonts w:cs="Times New Roman"/>
              </w:rPr>
              <w:t>Застройщик</w:t>
            </w:r>
          </w:p>
        </w:tc>
        <w:tc>
          <w:tcPr>
            <w:tcW w:w="1701" w:type="dxa"/>
            <w:vAlign w:val="center"/>
          </w:tcPr>
          <w:p w:rsidR="004A0172" w:rsidRPr="004A0172" w:rsidRDefault="004A0172" w:rsidP="00433A9E">
            <w:pPr>
              <w:spacing w:after="0"/>
              <w:ind w:firstLine="0"/>
              <w:jc w:val="center"/>
              <w:rPr>
                <w:rFonts w:cs="Times New Roman"/>
              </w:rPr>
            </w:pPr>
            <w:r w:rsidRPr="002A68A6">
              <w:rPr>
                <w:rFonts w:cs="Times New Roman"/>
                <w:color w:val="000000"/>
              </w:rPr>
              <w:t>Средняя цена, руб./кв.м</w:t>
            </w:r>
          </w:p>
        </w:tc>
        <w:tc>
          <w:tcPr>
            <w:tcW w:w="3261" w:type="dxa"/>
            <w:vAlign w:val="center"/>
          </w:tcPr>
          <w:p w:rsidR="004A0172" w:rsidRPr="004A0172" w:rsidRDefault="004A0172" w:rsidP="00433A9E">
            <w:pPr>
              <w:spacing w:after="0"/>
              <w:ind w:firstLine="0"/>
              <w:jc w:val="center"/>
              <w:rPr>
                <w:rFonts w:cs="Times New Roman"/>
              </w:rPr>
            </w:pPr>
            <w:r w:rsidRPr="004A0172">
              <w:rPr>
                <w:rFonts w:cs="Times New Roman"/>
              </w:rPr>
              <w:t>Материал стен</w:t>
            </w:r>
          </w:p>
        </w:tc>
      </w:tr>
      <w:tr w:rsidR="004A0172" w:rsidRPr="004A0172" w:rsidTr="00433A9E">
        <w:trPr>
          <w:jc w:val="center"/>
        </w:trPr>
        <w:tc>
          <w:tcPr>
            <w:tcW w:w="1384" w:type="dxa"/>
            <w:vMerge w:val="restart"/>
            <w:vAlign w:val="center"/>
          </w:tcPr>
          <w:p w:rsidR="004A0172" w:rsidRPr="004A0172" w:rsidRDefault="004A0172" w:rsidP="00433A9E">
            <w:pPr>
              <w:spacing w:after="0"/>
              <w:ind w:firstLine="0"/>
              <w:rPr>
                <w:rFonts w:cs="Times New Roman"/>
              </w:rPr>
            </w:pPr>
            <w:r w:rsidRPr="004A0172">
              <w:rPr>
                <w:rFonts w:cs="Times New Roman"/>
              </w:rPr>
              <w:t xml:space="preserve">Восточный </w:t>
            </w:r>
            <w:proofErr w:type="spellStart"/>
            <w:r w:rsidRPr="004A0172">
              <w:rPr>
                <w:rFonts w:cs="Times New Roman"/>
              </w:rPr>
              <w:t>мкр</w:t>
            </w:r>
            <w:proofErr w:type="spellEnd"/>
            <w:r w:rsidRPr="004A0172">
              <w:rPr>
                <w:rFonts w:cs="Times New Roman"/>
              </w:rPr>
              <w:t>.</w:t>
            </w:r>
          </w:p>
        </w:tc>
        <w:tc>
          <w:tcPr>
            <w:tcW w:w="3260" w:type="dxa"/>
          </w:tcPr>
          <w:p w:rsidR="004A0172" w:rsidRPr="004A0172" w:rsidRDefault="004A0172" w:rsidP="00433A9E">
            <w:pPr>
              <w:spacing w:after="0"/>
              <w:ind w:firstLine="0"/>
              <w:rPr>
                <w:rFonts w:cs="Times New Roman"/>
                <w:lang w:val="en-US"/>
              </w:rPr>
            </w:pPr>
            <w:r w:rsidRPr="004A0172">
              <w:rPr>
                <w:rFonts w:cs="Times New Roman"/>
              </w:rPr>
              <w:t>ЗАО "ТИС"</w:t>
            </w:r>
          </w:p>
        </w:tc>
        <w:tc>
          <w:tcPr>
            <w:tcW w:w="1701" w:type="dxa"/>
          </w:tcPr>
          <w:p w:rsidR="004A0172" w:rsidRPr="004A0172" w:rsidRDefault="004A0172" w:rsidP="00433A9E">
            <w:pPr>
              <w:spacing w:after="0"/>
              <w:ind w:firstLine="0"/>
              <w:jc w:val="center"/>
              <w:rPr>
                <w:rFonts w:cs="Times New Roman"/>
                <w:color w:val="000000"/>
              </w:rPr>
            </w:pPr>
            <w:r w:rsidRPr="004A0172">
              <w:rPr>
                <w:rFonts w:cs="Times New Roman"/>
                <w:color w:val="000000"/>
              </w:rPr>
              <w:t>52 558</w:t>
            </w:r>
          </w:p>
        </w:tc>
        <w:tc>
          <w:tcPr>
            <w:tcW w:w="3261" w:type="dxa"/>
            <w:vAlign w:val="center"/>
          </w:tcPr>
          <w:p w:rsidR="004A0172" w:rsidRPr="004A0172" w:rsidRDefault="004A0172" w:rsidP="00433A9E">
            <w:pPr>
              <w:spacing w:after="0"/>
              <w:ind w:firstLine="0"/>
              <w:jc w:val="center"/>
              <w:rPr>
                <w:rFonts w:cs="Times New Roman"/>
              </w:rPr>
            </w:pPr>
            <w:r w:rsidRPr="004A0172">
              <w:rPr>
                <w:rFonts w:cs="Times New Roman"/>
              </w:rPr>
              <w:t>Кирпич</w:t>
            </w:r>
          </w:p>
        </w:tc>
      </w:tr>
      <w:tr w:rsidR="004A0172" w:rsidRPr="004A0172" w:rsidTr="00433A9E">
        <w:trPr>
          <w:jc w:val="center"/>
        </w:trPr>
        <w:tc>
          <w:tcPr>
            <w:tcW w:w="1384" w:type="dxa"/>
            <w:vMerge/>
            <w:vAlign w:val="center"/>
          </w:tcPr>
          <w:p w:rsidR="004A0172" w:rsidRPr="004A0172" w:rsidRDefault="004A0172" w:rsidP="00433A9E">
            <w:pPr>
              <w:spacing w:after="0"/>
              <w:ind w:firstLine="0"/>
              <w:rPr>
                <w:rFonts w:cs="Times New Roman"/>
                <w:lang w:val="en-US"/>
              </w:rPr>
            </w:pPr>
          </w:p>
        </w:tc>
        <w:tc>
          <w:tcPr>
            <w:tcW w:w="3260" w:type="dxa"/>
          </w:tcPr>
          <w:p w:rsidR="004A0172" w:rsidRPr="004A0172" w:rsidRDefault="004A0172" w:rsidP="00433A9E">
            <w:pPr>
              <w:spacing w:after="0"/>
              <w:ind w:firstLine="0"/>
              <w:rPr>
                <w:rFonts w:cs="Times New Roman"/>
                <w:lang w:val="en-US"/>
              </w:rPr>
            </w:pPr>
            <w:r w:rsidRPr="004A0172">
              <w:rPr>
                <w:rFonts w:cs="Times New Roman"/>
              </w:rPr>
              <w:t>ОАО "ТДСК"</w:t>
            </w:r>
          </w:p>
        </w:tc>
        <w:tc>
          <w:tcPr>
            <w:tcW w:w="1701" w:type="dxa"/>
          </w:tcPr>
          <w:p w:rsidR="004A0172" w:rsidRPr="004A0172" w:rsidRDefault="004A0172" w:rsidP="00433A9E">
            <w:pPr>
              <w:spacing w:after="0"/>
              <w:ind w:firstLine="0"/>
              <w:jc w:val="center"/>
              <w:rPr>
                <w:rFonts w:cs="Times New Roman"/>
                <w:color w:val="000000"/>
              </w:rPr>
            </w:pPr>
            <w:r w:rsidRPr="004A0172">
              <w:rPr>
                <w:rFonts w:cs="Times New Roman"/>
                <w:color w:val="000000"/>
              </w:rPr>
              <w:t>46 884</w:t>
            </w:r>
          </w:p>
        </w:tc>
        <w:tc>
          <w:tcPr>
            <w:tcW w:w="3261" w:type="dxa"/>
            <w:vAlign w:val="center"/>
          </w:tcPr>
          <w:p w:rsidR="004A0172" w:rsidRPr="004A0172" w:rsidRDefault="004A0172" w:rsidP="00433A9E">
            <w:pPr>
              <w:spacing w:after="0"/>
              <w:ind w:firstLine="0"/>
              <w:jc w:val="center"/>
              <w:rPr>
                <w:rFonts w:cs="Times New Roman"/>
              </w:rPr>
            </w:pPr>
            <w:r w:rsidRPr="004A0172">
              <w:rPr>
                <w:rFonts w:cs="Times New Roman"/>
              </w:rPr>
              <w:t>Панель</w:t>
            </w:r>
          </w:p>
        </w:tc>
      </w:tr>
      <w:tr w:rsidR="004A0172" w:rsidRPr="004A0172" w:rsidTr="00433A9E">
        <w:trPr>
          <w:jc w:val="center"/>
        </w:trPr>
        <w:tc>
          <w:tcPr>
            <w:tcW w:w="1384" w:type="dxa"/>
            <w:vMerge/>
            <w:vAlign w:val="center"/>
          </w:tcPr>
          <w:p w:rsidR="004A0172" w:rsidRPr="004A0172" w:rsidRDefault="004A0172" w:rsidP="00433A9E">
            <w:pPr>
              <w:spacing w:after="0"/>
              <w:ind w:firstLine="0"/>
              <w:rPr>
                <w:rFonts w:cs="Times New Roman"/>
                <w:lang w:val="en-US"/>
              </w:rPr>
            </w:pPr>
          </w:p>
        </w:tc>
        <w:tc>
          <w:tcPr>
            <w:tcW w:w="3260" w:type="dxa"/>
          </w:tcPr>
          <w:p w:rsidR="004A0172" w:rsidRPr="004A0172" w:rsidRDefault="004A0172" w:rsidP="00433A9E">
            <w:pPr>
              <w:spacing w:after="0"/>
              <w:ind w:firstLine="0"/>
              <w:rPr>
                <w:rFonts w:cs="Times New Roman"/>
              </w:rPr>
            </w:pPr>
            <w:r w:rsidRPr="004A0172">
              <w:rPr>
                <w:rFonts w:cs="Times New Roman"/>
                <w:lang w:val="en-US"/>
              </w:rPr>
              <w:t>ООО “</w:t>
            </w:r>
            <w:r w:rsidRPr="004A0172">
              <w:rPr>
                <w:rFonts w:cs="Times New Roman"/>
              </w:rPr>
              <w:t>Элит Строй»</w:t>
            </w:r>
          </w:p>
        </w:tc>
        <w:tc>
          <w:tcPr>
            <w:tcW w:w="1701" w:type="dxa"/>
          </w:tcPr>
          <w:p w:rsidR="004A0172" w:rsidRPr="004A0172" w:rsidRDefault="004A0172" w:rsidP="00433A9E">
            <w:pPr>
              <w:spacing w:after="0"/>
              <w:ind w:firstLine="0"/>
              <w:jc w:val="center"/>
              <w:rPr>
                <w:rFonts w:cs="Times New Roman"/>
                <w:color w:val="000000"/>
              </w:rPr>
            </w:pPr>
            <w:r w:rsidRPr="004A0172">
              <w:rPr>
                <w:rFonts w:cs="Times New Roman"/>
                <w:color w:val="000000"/>
              </w:rPr>
              <w:t>56 508</w:t>
            </w:r>
          </w:p>
        </w:tc>
        <w:tc>
          <w:tcPr>
            <w:tcW w:w="3261" w:type="dxa"/>
            <w:vAlign w:val="center"/>
          </w:tcPr>
          <w:p w:rsidR="004A0172" w:rsidRPr="004A0172" w:rsidRDefault="004A0172" w:rsidP="00433A9E">
            <w:pPr>
              <w:spacing w:after="0"/>
              <w:ind w:firstLine="0"/>
              <w:jc w:val="center"/>
              <w:rPr>
                <w:rFonts w:cs="Times New Roman"/>
              </w:rPr>
            </w:pPr>
            <w:r w:rsidRPr="004A0172">
              <w:rPr>
                <w:rFonts w:cs="Times New Roman"/>
              </w:rPr>
              <w:t>Кирпич</w:t>
            </w:r>
          </w:p>
        </w:tc>
      </w:tr>
      <w:tr w:rsidR="00A42C1E" w:rsidRPr="004A0172" w:rsidTr="00433A9E">
        <w:trPr>
          <w:jc w:val="center"/>
        </w:trPr>
        <w:tc>
          <w:tcPr>
            <w:tcW w:w="1384" w:type="dxa"/>
            <w:vMerge/>
            <w:vAlign w:val="center"/>
          </w:tcPr>
          <w:p w:rsidR="00A42C1E" w:rsidRPr="004A0172" w:rsidRDefault="00A42C1E" w:rsidP="00433A9E">
            <w:pPr>
              <w:spacing w:after="0"/>
              <w:ind w:firstLine="0"/>
              <w:rPr>
                <w:rFonts w:cs="Times New Roman"/>
                <w:lang w:val="en-US"/>
              </w:rPr>
            </w:pPr>
          </w:p>
        </w:tc>
        <w:tc>
          <w:tcPr>
            <w:tcW w:w="3260" w:type="dxa"/>
            <w:vMerge w:val="restart"/>
            <w:vAlign w:val="center"/>
          </w:tcPr>
          <w:p w:rsidR="00A42C1E" w:rsidRPr="004A0172" w:rsidRDefault="00A42C1E" w:rsidP="00433A9E">
            <w:pPr>
              <w:spacing w:after="0"/>
              <w:ind w:firstLine="0"/>
              <w:rPr>
                <w:rFonts w:cs="Times New Roman"/>
                <w:lang w:val="en-US"/>
              </w:rPr>
            </w:pPr>
            <w:r w:rsidRPr="004A0172">
              <w:rPr>
                <w:rFonts w:cs="Times New Roman"/>
              </w:rPr>
              <w:t xml:space="preserve">ООО «Меридиан </w:t>
            </w:r>
            <w:proofErr w:type="spellStart"/>
            <w:r w:rsidRPr="004A0172">
              <w:rPr>
                <w:rFonts w:cs="Times New Roman"/>
              </w:rPr>
              <w:t>Констракшн</w:t>
            </w:r>
            <w:proofErr w:type="spellEnd"/>
            <w:r w:rsidRPr="004A0172">
              <w:rPr>
                <w:rFonts w:cs="Times New Roman"/>
              </w:rPr>
              <w:t>»</w:t>
            </w:r>
          </w:p>
        </w:tc>
        <w:tc>
          <w:tcPr>
            <w:tcW w:w="1701" w:type="dxa"/>
          </w:tcPr>
          <w:p w:rsidR="00A42C1E" w:rsidRPr="004A0172" w:rsidRDefault="00A42C1E" w:rsidP="00433A9E">
            <w:pPr>
              <w:spacing w:after="0"/>
              <w:ind w:firstLine="0"/>
              <w:jc w:val="center"/>
              <w:rPr>
                <w:rFonts w:cs="Times New Roman"/>
                <w:color w:val="000000"/>
              </w:rPr>
            </w:pPr>
            <w:r>
              <w:rPr>
                <w:rFonts w:cs="Times New Roman"/>
                <w:color w:val="000000"/>
              </w:rPr>
              <w:t>55 818</w:t>
            </w:r>
          </w:p>
        </w:tc>
        <w:tc>
          <w:tcPr>
            <w:tcW w:w="3261" w:type="dxa"/>
            <w:vAlign w:val="center"/>
          </w:tcPr>
          <w:p w:rsidR="00A42C1E" w:rsidRPr="004A0172" w:rsidRDefault="00A42C1E" w:rsidP="00433A9E">
            <w:pPr>
              <w:spacing w:after="0"/>
              <w:ind w:firstLine="0"/>
              <w:jc w:val="center"/>
              <w:rPr>
                <w:rFonts w:cs="Times New Roman"/>
              </w:rPr>
            </w:pPr>
            <w:r w:rsidRPr="004A0172">
              <w:rPr>
                <w:rFonts w:cs="Times New Roman"/>
              </w:rPr>
              <w:t>Монолитный каркас</w:t>
            </w:r>
          </w:p>
        </w:tc>
      </w:tr>
      <w:tr w:rsidR="00A42C1E" w:rsidRPr="004A0172" w:rsidTr="00433A9E">
        <w:trPr>
          <w:jc w:val="center"/>
        </w:trPr>
        <w:tc>
          <w:tcPr>
            <w:tcW w:w="1384" w:type="dxa"/>
            <w:vMerge/>
            <w:vAlign w:val="center"/>
          </w:tcPr>
          <w:p w:rsidR="00A42C1E" w:rsidRPr="004A0172" w:rsidRDefault="00A42C1E" w:rsidP="00433A9E">
            <w:pPr>
              <w:spacing w:after="0"/>
              <w:ind w:firstLine="0"/>
              <w:rPr>
                <w:rFonts w:cs="Times New Roman"/>
                <w:lang w:val="en-US"/>
              </w:rPr>
            </w:pPr>
          </w:p>
        </w:tc>
        <w:tc>
          <w:tcPr>
            <w:tcW w:w="3260" w:type="dxa"/>
            <w:vMerge/>
          </w:tcPr>
          <w:p w:rsidR="00A42C1E" w:rsidRPr="004A0172" w:rsidRDefault="00A42C1E" w:rsidP="00433A9E">
            <w:pPr>
              <w:spacing w:after="0"/>
              <w:ind w:firstLine="0"/>
              <w:rPr>
                <w:rFonts w:cs="Times New Roman"/>
              </w:rPr>
            </w:pPr>
          </w:p>
        </w:tc>
        <w:tc>
          <w:tcPr>
            <w:tcW w:w="1701" w:type="dxa"/>
          </w:tcPr>
          <w:p w:rsidR="00A42C1E" w:rsidRPr="004A0172" w:rsidRDefault="00A42C1E" w:rsidP="00433A9E">
            <w:pPr>
              <w:spacing w:after="0"/>
              <w:ind w:firstLine="0"/>
              <w:jc w:val="center"/>
              <w:rPr>
                <w:rFonts w:cs="Times New Roman"/>
                <w:color w:val="000000"/>
              </w:rPr>
            </w:pPr>
            <w:r w:rsidRPr="004A0172">
              <w:rPr>
                <w:rFonts w:cs="Times New Roman"/>
                <w:color w:val="000000"/>
              </w:rPr>
              <w:t>5</w:t>
            </w:r>
            <w:r>
              <w:rPr>
                <w:rFonts w:cs="Times New Roman"/>
                <w:color w:val="000000"/>
              </w:rPr>
              <w:t>3</w:t>
            </w:r>
            <w:r w:rsidRPr="004A0172">
              <w:rPr>
                <w:rFonts w:cs="Times New Roman"/>
                <w:color w:val="000000"/>
              </w:rPr>
              <w:t> 7</w:t>
            </w:r>
            <w:r>
              <w:rPr>
                <w:rFonts w:cs="Times New Roman"/>
                <w:color w:val="000000"/>
              </w:rPr>
              <w:t>72</w:t>
            </w:r>
          </w:p>
        </w:tc>
        <w:tc>
          <w:tcPr>
            <w:tcW w:w="3261" w:type="dxa"/>
            <w:vAlign w:val="center"/>
          </w:tcPr>
          <w:p w:rsidR="00A42C1E" w:rsidRPr="004A0172" w:rsidRDefault="00A42C1E" w:rsidP="00433A9E">
            <w:pPr>
              <w:spacing w:after="0"/>
              <w:ind w:firstLine="0"/>
              <w:jc w:val="center"/>
              <w:rPr>
                <w:rFonts w:cs="Times New Roman"/>
              </w:rPr>
            </w:pPr>
            <w:r>
              <w:rPr>
                <w:rFonts w:cs="Times New Roman"/>
              </w:rPr>
              <w:t>К</w:t>
            </w:r>
            <w:r w:rsidRPr="004A0172">
              <w:rPr>
                <w:rFonts w:cs="Times New Roman"/>
              </w:rPr>
              <w:t>ирпич</w:t>
            </w:r>
          </w:p>
        </w:tc>
      </w:tr>
      <w:tr w:rsidR="00A42C1E" w:rsidRPr="004A0172" w:rsidTr="00433A9E">
        <w:trPr>
          <w:jc w:val="center"/>
        </w:trPr>
        <w:tc>
          <w:tcPr>
            <w:tcW w:w="1384" w:type="dxa"/>
            <w:vMerge w:val="restart"/>
            <w:vAlign w:val="center"/>
          </w:tcPr>
          <w:p w:rsidR="00A42C1E" w:rsidRPr="004A0172" w:rsidRDefault="00A42C1E" w:rsidP="00433A9E">
            <w:pPr>
              <w:spacing w:after="0"/>
              <w:ind w:firstLine="0"/>
              <w:rPr>
                <w:rFonts w:cs="Times New Roman"/>
              </w:rPr>
            </w:pPr>
            <w:r w:rsidRPr="004A0172">
              <w:rPr>
                <w:rFonts w:cs="Times New Roman"/>
              </w:rPr>
              <w:t xml:space="preserve">Тюменский </w:t>
            </w:r>
            <w:proofErr w:type="spellStart"/>
            <w:r w:rsidRPr="004A0172">
              <w:rPr>
                <w:rFonts w:cs="Times New Roman"/>
              </w:rPr>
              <w:t>мкр</w:t>
            </w:r>
            <w:proofErr w:type="spellEnd"/>
            <w:r w:rsidRPr="004A0172">
              <w:rPr>
                <w:rFonts w:cs="Times New Roman"/>
              </w:rPr>
              <w:t>.</w:t>
            </w:r>
          </w:p>
        </w:tc>
        <w:tc>
          <w:tcPr>
            <w:tcW w:w="3260" w:type="dxa"/>
          </w:tcPr>
          <w:p w:rsidR="00A42C1E" w:rsidRPr="004A0172" w:rsidRDefault="00A42C1E" w:rsidP="00433A9E">
            <w:pPr>
              <w:spacing w:after="0"/>
              <w:ind w:firstLine="0"/>
              <w:rPr>
                <w:rFonts w:cs="Times New Roman"/>
                <w:lang w:val="en-US"/>
              </w:rPr>
            </w:pPr>
            <w:r w:rsidRPr="004A0172">
              <w:rPr>
                <w:rFonts w:cs="Times New Roman"/>
              </w:rPr>
              <w:t>ОАО "АИЖК"</w:t>
            </w:r>
          </w:p>
        </w:tc>
        <w:tc>
          <w:tcPr>
            <w:tcW w:w="1701" w:type="dxa"/>
          </w:tcPr>
          <w:p w:rsidR="00A42C1E" w:rsidRPr="004A0172" w:rsidRDefault="00A42C1E" w:rsidP="00433A9E">
            <w:pPr>
              <w:spacing w:after="0"/>
              <w:ind w:firstLine="0"/>
              <w:jc w:val="center"/>
              <w:rPr>
                <w:rFonts w:cs="Times New Roman"/>
                <w:color w:val="000000"/>
              </w:rPr>
            </w:pPr>
            <w:r w:rsidRPr="004A0172">
              <w:rPr>
                <w:rFonts w:cs="Times New Roman"/>
                <w:color w:val="000000"/>
              </w:rPr>
              <w:t>49 917</w:t>
            </w:r>
          </w:p>
        </w:tc>
        <w:tc>
          <w:tcPr>
            <w:tcW w:w="3261" w:type="dxa"/>
            <w:vAlign w:val="center"/>
          </w:tcPr>
          <w:p w:rsidR="00A42C1E" w:rsidRPr="004A0172" w:rsidRDefault="00A42C1E" w:rsidP="00433A9E">
            <w:pPr>
              <w:spacing w:after="0"/>
              <w:ind w:firstLine="0"/>
              <w:jc w:val="center"/>
              <w:rPr>
                <w:rFonts w:cs="Times New Roman"/>
                <w:lang w:val="en-US"/>
              </w:rPr>
            </w:pPr>
            <w:r w:rsidRPr="004A0172">
              <w:rPr>
                <w:rFonts w:cs="Times New Roman"/>
              </w:rPr>
              <w:t>Монолитный каркас</w:t>
            </w:r>
          </w:p>
        </w:tc>
      </w:tr>
      <w:tr w:rsidR="00A42C1E" w:rsidRPr="004A0172" w:rsidTr="00433A9E">
        <w:trPr>
          <w:jc w:val="center"/>
        </w:trPr>
        <w:tc>
          <w:tcPr>
            <w:tcW w:w="1384" w:type="dxa"/>
            <w:vMerge/>
          </w:tcPr>
          <w:p w:rsidR="00A42C1E" w:rsidRPr="004A0172" w:rsidRDefault="00A42C1E" w:rsidP="00433A9E">
            <w:pPr>
              <w:spacing w:after="0"/>
              <w:ind w:firstLine="0"/>
              <w:rPr>
                <w:rFonts w:cs="Times New Roman"/>
                <w:lang w:val="en-US"/>
              </w:rPr>
            </w:pPr>
          </w:p>
        </w:tc>
        <w:tc>
          <w:tcPr>
            <w:tcW w:w="3260" w:type="dxa"/>
            <w:vMerge w:val="restart"/>
            <w:vAlign w:val="center"/>
          </w:tcPr>
          <w:p w:rsidR="00A42C1E" w:rsidRPr="004A0172" w:rsidRDefault="00A42C1E" w:rsidP="00433A9E">
            <w:pPr>
              <w:spacing w:after="0"/>
              <w:ind w:firstLine="0"/>
              <w:rPr>
                <w:rFonts w:cs="Times New Roman"/>
                <w:lang w:val="en-US"/>
              </w:rPr>
            </w:pPr>
            <w:r w:rsidRPr="004A0172">
              <w:rPr>
                <w:rFonts w:cs="Times New Roman"/>
              </w:rPr>
              <w:t>ГК «ДОМ»</w:t>
            </w:r>
          </w:p>
        </w:tc>
        <w:tc>
          <w:tcPr>
            <w:tcW w:w="1701" w:type="dxa"/>
          </w:tcPr>
          <w:p w:rsidR="00A42C1E" w:rsidRPr="004A0172" w:rsidRDefault="00A42C1E" w:rsidP="00433A9E">
            <w:pPr>
              <w:spacing w:after="0"/>
              <w:ind w:firstLine="0"/>
              <w:jc w:val="center"/>
              <w:rPr>
                <w:rFonts w:cs="Times New Roman"/>
                <w:color w:val="000000"/>
              </w:rPr>
            </w:pPr>
            <w:r>
              <w:rPr>
                <w:rFonts w:cs="Times New Roman"/>
                <w:color w:val="000000"/>
              </w:rPr>
              <w:t>43 413</w:t>
            </w:r>
          </w:p>
        </w:tc>
        <w:tc>
          <w:tcPr>
            <w:tcW w:w="3261" w:type="dxa"/>
            <w:vAlign w:val="center"/>
          </w:tcPr>
          <w:p w:rsidR="00A42C1E" w:rsidRPr="004A0172" w:rsidRDefault="00A42C1E" w:rsidP="00433A9E">
            <w:pPr>
              <w:spacing w:after="0"/>
              <w:ind w:firstLine="0"/>
              <w:jc w:val="center"/>
              <w:rPr>
                <w:rFonts w:cs="Times New Roman"/>
                <w:lang w:val="en-US"/>
              </w:rPr>
            </w:pPr>
            <w:r w:rsidRPr="004A0172">
              <w:rPr>
                <w:rFonts w:cs="Times New Roman"/>
              </w:rPr>
              <w:t>Монолитный каркас</w:t>
            </w:r>
          </w:p>
        </w:tc>
      </w:tr>
      <w:tr w:rsidR="00A42C1E" w:rsidRPr="004A0172" w:rsidTr="00433A9E">
        <w:trPr>
          <w:jc w:val="center"/>
        </w:trPr>
        <w:tc>
          <w:tcPr>
            <w:tcW w:w="1384" w:type="dxa"/>
            <w:vMerge/>
          </w:tcPr>
          <w:p w:rsidR="00A42C1E" w:rsidRPr="004A0172" w:rsidRDefault="00A42C1E" w:rsidP="00433A9E">
            <w:pPr>
              <w:spacing w:after="0"/>
              <w:ind w:firstLine="0"/>
              <w:rPr>
                <w:rFonts w:cs="Times New Roman"/>
                <w:lang w:val="en-US"/>
              </w:rPr>
            </w:pPr>
          </w:p>
        </w:tc>
        <w:tc>
          <w:tcPr>
            <w:tcW w:w="3260" w:type="dxa"/>
            <w:vMerge/>
          </w:tcPr>
          <w:p w:rsidR="00A42C1E" w:rsidRPr="004A0172" w:rsidRDefault="00A42C1E" w:rsidP="00433A9E">
            <w:pPr>
              <w:spacing w:after="0"/>
              <w:ind w:firstLine="0"/>
              <w:rPr>
                <w:rFonts w:cs="Times New Roman"/>
              </w:rPr>
            </w:pPr>
          </w:p>
        </w:tc>
        <w:tc>
          <w:tcPr>
            <w:tcW w:w="1701" w:type="dxa"/>
          </w:tcPr>
          <w:p w:rsidR="00A42C1E" w:rsidRPr="004A0172" w:rsidRDefault="00A42C1E" w:rsidP="00433A9E">
            <w:pPr>
              <w:spacing w:after="0"/>
              <w:ind w:firstLine="0"/>
              <w:jc w:val="center"/>
              <w:rPr>
                <w:rFonts w:cs="Times New Roman"/>
                <w:color w:val="000000"/>
              </w:rPr>
            </w:pPr>
            <w:r>
              <w:rPr>
                <w:rFonts w:cs="Times New Roman"/>
                <w:color w:val="000000"/>
              </w:rPr>
              <w:t>47 550</w:t>
            </w:r>
          </w:p>
        </w:tc>
        <w:tc>
          <w:tcPr>
            <w:tcW w:w="3261" w:type="dxa"/>
            <w:vAlign w:val="center"/>
          </w:tcPr>
          <w:p w:rsidR="00A42C1E" w:rsidRPr="004A0172" w:rsidRDefault="00A42C1E" w:rsidP="00433A9E">
            <w:pPr>
              <w:spacing w:after="0"/>
              <w:ind w:firstLine="0"/>
              <w:jc w:val="center"/>
              <w:rPr>
                <w:rFonts w:cs="Times New Roman"/>
              </w:rPr>
            </w:pPr>
            <w:r>
              <w:rPr>
                <w:rFonts w:cs="Times New Roman"/>
              </w:rPr>
              <w:t>К</w:t>
            </w:r>
            <w:r w:rsidRPr="004A0172">
              <w:rPr>
                <w:rFonts w:cs="Times New Roman"/>
              </w:rPr>
              <w:t>ирпич</w:t>
            </w:r>
          </w:p>
        </w:tc>
      </w:tr>
      <w:tr w:rsidR="00A42C1E" w:rsidRPr="004A0172" w:rsidTr="00433A9E">
        <w:trPr>
          <w:jc w:val="center"/>
        </w:trPr>
        <w:tc>
          <w:tcPr>
            <w:tcW w:w="1384" w:type="dxa"/>
            <w:vMerge/>
          </w:tcPr>
          <w:p w:rsidR="00A42C1E" w:rsidRPr="004A0172" w:rsidRDefault="00A42C1E" w:rsidP="00433A9E">
            <w:pPr>
              <w:spacing w:after="0"/>
              <w:ind w:firstLine="0"/>
              <w:rPr>
                <w:rFonts w:cs="Times New Roman"/>
                <w:lang w:val="en-US"/>
              </w:rPr>
            </w:pPr>
          </w:p>
        </w:tc>
        <w:tc>
          <w:tcPr>
            <w:tcW w:w="3260" w:type="dxa"/>
            <w:vMerge w:val="restart"/>
            <w:vAlign w:val="center"/>
          </w:tcPr>
          <w:p w:rsidR="00A42C1E" w:rsidRPr="004A0172" w:rsidRDefault="00A42C1E" w:rsidP="00433A9E">
            <w:pPr>
              <w:spacing w:after="0"/>
              <w:ind w:firstLine="0"/>
              <w:rPr>
                <w:rFonts w:cs="Times New Roman"/>
                <w:lang w:val="en-US"/>
              </w:rPr>
            </w:pPr>
            <w:r w:rsidRPr="004A0172">
              <w:rPr>
                <w:rFonts w:cs="Times New Roman"/>
              </w:rPr>
              <w:t>ООО «ИНКО и К»</w:t>
            </w:r>
          </w:p>
        </w:tc>
        <w:tc>
          <w:tcPr>
            <w:tcW w:w="1701" w:type="dxa"/>
          </w:tcPr>
          <w:p w:rsidR="00A42C1E" w:rsidRPr="004A0172" w:rsidRDefault="00A42C1E" w:rsidP="00433A9E">
            <w:pPr>
              <w:spacing w:after="0"/>
              <w:ind w:firstLine="0"/>
              <w:jc w:val="center"/>
              <w:rPr>
                <w:rFonts w:cs="Times New Roman"/>
                <w:color w:val="000000"/>
              </w:rPr>
            </w:pPr>
            <w:r w:rsidRPr="004A0172">
              <w:rPr>
                <w:rFonts w:cs="Times New Roman"/>
                <w:color w:val="000000"/>
              </w:rPr>
              <w:t>47 </w:t>
            </w:r>
            <w:r>
              <w:rPr>
                <w:rFonts w:cs="Times New Roman"/>
                <w:color w:val="000000"/>
              </w:rPr>
              <w:t>75</w:t>
            </w:r>
            <w:r w:rsidRPr="004A0172">
              <w:rPr>
                <w:rFonts w:cs="Times New Roman"/>
                <w:color w:val="000000"/>
              </w:rPr>
              <w:t>0</w:t>
            </w:r>
          </w:p>
        </w:tc>
        <w:tc>
          <w:tcPr>
            <w:tcW w:w="3261" w:type="dxa"/>
            <w:vAlign w:val="center"/>
          </w:tcPr>
          <w:p w:rsidR="00A42C1E" w:rsidRPr="004A0172" w:rsidRDefault="00A42C1E" w:rsidP="00433A9E">
            <w:pPr>
              <w:spacing w:after="0"/>
              <w:ind w:firstLine="0"/>
              <w:jc w:val="center"/>
              <w:rPr>
                <w:rFonts w:cs="Times New Roman"/>
                <w:lang w:val="en-US"/>
              </w:rPr>
            </w:pPr>
            <w:r w:rsidRPr="004A0172">
              <w:rPr>
                <w:rFonts w:cs="Times New Roman"/>
              </w:rPr>
              <w:t>Монолитный каркас</w:t>
            </w:r>
          </w:p>
        </w:tc>
      </w:tr>
      <w:tr w:rsidR="00A42C1E" w:rsidRPr="004A0172" w:rsidTr="00433A9E">
        <w:trPr>
          <w:jc w:val="center"/>
        </w:trPr>
        <w:tc>
          <w:tcPr>
            <w:tcW w:w="1384" w:type="dxa"/>
            <w:vMerge/>
          </w:tcPr>
          <w:p w:rsidR="00A42C1E" w:rsidRPr="004A0172" w:rsidRDefault="00A42C1E" w:rsidP="00433A9E">
            <w:pPr>
              <w:spacing w:after="0"/>
              <w:ind w:firstLine="0"/>
              <w:rPr>
                <w:rFonts w:cs="Times New Roman"/>
                <w:lang w:val="en-US"/>
              </w:rPr>
            </w:pPr>
          </w:p>
        </w:tc>
        <w:tc>
          <w:tcPr>
            <w:tcW w:w="3260" w:type="dxa"/>
            <w:vMerge/>
          </w:tcPr>
          <w:p w:rsidR="00A42C1E" w:rsidRPr="004A0172" w:rsidRDefault="00A42C1E" w:rsidP="00433A9E">
            <w:pPr>
              <w:spacing w:after="0"/>
              <w:ind w:firstLine="0"/>
              <w:rPr>
                <w:rFonts w:cs="Times New Roman"/>
              </w:rPr>
            </w:pPr>
          </w:p>
        </w:tc>
        <w:tc>
          <w:tcPr>
            <w:tcW w:w="1701" w:type="dxa"/>
          </w:tcPr>
          <w:p w:rsidR="00A42C1E" w:rsidRPr="004A0172" w:rsidRDefault="00A42C1E" w:rsidP="00433A9E">
            <w:pPr>
              <w:spacing w:after="0"/>
              <w:ind w:firstLine="0"/>
              <w:jc w:val="center"/>
              <w:rPr>
                <w:rFonts w:cs="Times New Roman"/>
                <w:color w:val="000000"/>
              </w:rPr>
            </w:pPr>
            <w:r>
              <w:rPr>
                <w:rFonts w:cs="Times New Roman"/>
                <w:color w:val="000000"/>
              </w:rPr>
              <w:t>47 000</w:t>
            </w:r>
          </w:p>
        </w:tc>
        <w:tc>
          <w:tcPr>
            <w:tcW w:w="3261" w:type="dxa"/>
            <w:vAlign w:val="center"/>
          </w:tcPr>
          <w:p w:rsidR="00A42C1E" w:rsidRPr="004A0172" w:rsidRDefault="00A42C1E" w:rsidP="00433A9E">
            <w:pPr>
              <w:spacing w:after="0"/>
              <w:ind w:firstLine="0"/>
              <w:jc w:val="center"/>
              <w:rPr>
                <w:rFonts w:cs="Times New Roman"/>
              </w:rPr>
            </w:pPr>
            <w:r>
              <w:rPr>
                <w:rFonts w:cs="Times New Roman"/>
              </w:rPr>
              <w:t>К</w:t>
            </w:r>
            <w:r w:rsidRPr="004A0172">
              <w:rPr>
                <w:rFonts w:cs="Times New Roman"/>
              </w:rPr>
              <w:t>ирпич</w:t>
            </w:r>
          </w:p>
        </w:tc>
      </w:tr>
    </w:tbl>
    <w:p w:rsidR="004A0172" w:rsidRDefault="004A0172" w:rsidP="00433A9E">
      <w:pPr>
        <w:rPr>
          <w:lang w:val="en-US"/>
        </w:rPr>
      </w:pPr>
    </w:p>
    <w:p w:rsidR="00FA4C40" w:rsidRDefault="00957633" w:rsidP="00433A9E">
      <w:r>
        <w:t>На рисунке н</w:t>
      </w:r>
      <w:r w:rsidR="00FA4C40">
        <w:t>иже приведены средние цены квадратного метра в Тюменском и Восточном микрорайонах с разбивкой по срокам сдачи объектов.</w:t>
      </w:r>
      <w:r>
        <w:t xml:space="preserve"> Со сроком сдачи конец 2012 года был выявлен 1 объект в Тюменском </w:t>
      </w:r>
      <w:proofErr w:type="spellStart"/>
      <w:r>
        <w:t>мкр</w:t>
      </w:r>
      <w:proofErr w:type="spellEnd"/>
      <w:r>
        <w:t xml:space="preserve">. и 2 объекта в Восточном-2 </w:t>
      </w:r>
      <w:proofErr w:type="spellStart"/>
      <w:r>
        <w:t>мкр</w:t>
      </w:r>
      <w:proofErr w:type="spellEnd"/>
      <w:r>
        <w:t>. В</w:t>
      </w:r>
      <w:r w:rsidR="007F4CB3">
        <w:t> </w:t>
      </w:r>
      <w:r>
        <w:t>2013</w:t>
      </w:r>
      <w:r w:rsidR="007F4CB3">
        <w:t> </w:t>
      </w:r>
      <w:r>
        <w:t xml:space="preserve">г. сдаются по 5 объектов в каждом районе, и в 2014 г. – 3 объекта в Восточном-2 и </w:t>
      </w:r>
      <w:r w:rsidR="000F06A7">
        <w:t>7 объектов</w:t>
      </w:r>
      <w:r>
        <w:t xml:space="preserve"> в Тюменском </w:t>
      </w:r>
      <w:proofErr w:type="spellStart"/>
      <w:r>
        <w:t>мкр</w:t>
      </w:r>
      <w:proofErr w:type="spellEnd"/>
      <w:r>
        <w:t>.</w:t>
      </w:r>
    </w:p>
    <w:p w:rsidR="004206C8" w:rsidRDefault="004206C8" w:rsidP="00433A9E"/>
    <w:p w:rsidR="00FC3141" w:rsidRDefault="002A68A6" w:rsidP="00BF6380">
      <w:pPr>
        <w:spacing w:after="0"/>
        <w:jc w:val="center"/>
        <w:rPr>
          <w:rFonts w:cs="Times New Roman"/>
          <w:szCs w:val="24"/>
        </w:rPr>
      </w:pPr>
      <w:r w:rsidRPr="002A68A6">
        <w:rPr>
          <w:rFonts w:cs="Times New Roman"/>
          <w:noProof/>
          <w:szCs w:val="24"/>
          <w:lang w:eastAsia="ru-RU"/>
        </w:rPr>
        <w:lastRenderedPageBreak/>
        <w:drawing>
          <wp:inline distT="0" distB="0" distL="0" distR="0">
            <wp:extent cx="4570942" cy="21653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4C40" w:rsidRPr="00FA4C40" w:rsidRDefault="00FA4C40" w:rsidP="00FA4C40">
      <w:pPr>
        <w:spacing w:after="0"/>
        <w:jc w:val="center"/>
        <w:rPr>
          <w:rFonts w:cs="Times New Roman"/>
          <w:i/>
          <w:szCs w:val="24"/>
        </w:rPr>
      </w:pPr>
      <w:r w:rsidRPr="00FA4C40">
        <w:rPr>
          <w:rFonts w:cs="Times New Roman"/>
          <w:i/>
          <w:szCs w:val="24"/>
        </w:rPr>
        <w:t>Рис. Средние цены квадратного метра жилой недвижимости в Восточном и Тюменском микрорайонах</w:t>
      </w:r>
      <w:r>
        <w:rPr>
          <w:rFonts w:cs="Times New Roman"/>
          <w:i/>
          <w:szCs w:val="24"/>
        </w:rPr>
        <w:t xml:space="preserve"> с разбивкой по срокам сдачи объектов</w:t>
      </w:r>
      <w:r w:rsidRPr="00FA4C40">
        <w:rPr>
          <w:rFonts w:cs="Times New Roman"/>
          <w:i/>
          <w:szCs w:val="24"/>
        </w:rPr>
        <w:t>, тыс. руб. за кв. м</w:t>
      </w:r>
    </w:p>
    <w:p w:rsidR="00FA4C40" w:rsidRDefault="00FA4C40" w:rsidP="00433A9E"/>
    <w:p w:rsidR="005E43BA" w:rsidRDefault="005E43BA" w:rsidP="00433A9E">
      <w:r>
        <w:t xml:space="preserve">В целом по Восточному </w:t>
      </w:r>
      <w:proofErr w:type="spellStart"/>
      <w:r>
        <w:t>мкр</w:t>
      </w:r>
      <w:proofErr w:type="spellEnd"/>
      <w:r>
        <w:t xml:space="preserve">. средняя цена за квадрат на 2,7% выше, чем в Тюменском </w:t>
      </w:r>
      <w:proofErr w:type="spellStart"/>
      <w:r>
        <w:t>мкр</w:t>
      </w:r>
      <w:proofErr w:type="spellEnd"/>
      <w:r>
        <w:t xml:space="preserve">. Но, при этом, средняя цена за объект ниже на 15%, и площади квартир в Восточном </w:t>
      </w:r>
      <w:proofErr w:type="spellStart"/>
      <w:r>
        <w:t>мкр</w:t>
      </w:r>
      <w:proofErr w:type="spellEnd"/>
      <w:r>
        <w:t>. меньше на 17% чем в Тюменском.</w:t>
      </w:r>
    </w:p>
    <w:p w:rsidR="005224B5" w:rsidRDefault="005224B5" w:rsidP="00433A9E"/>
    <w:p w:rsidR="00C176CA" w:rsidRDefault="00C176CA">
      <w:pPr>
        <w:rPr>
          <w:rFonts w:cs="Times New Roman"/>
          <w:b/>
          <w:szCs w:val="24"/>
        </w:rPr>
      </w:pPr>
      <w:r>
        <w:rPr>
          <w:rFonts w:cs="Times New Roman"/>
          <w:b/>
          <w:szCs w:val="24"/>
        </w:rPr>
        <w:br w:type="page"/>
      </w:r>
    </w:p>
    <w:p w:rsidR="005E43BA" w:rsidRPr="00CE052A" w:rsidRDefault="00CE052A" w:rsidP="00CE052A">
      <w:pPr>
        <w:pStyle w:val="1"/>
        <w:rPr>
          <w:szCs w:val="24"/>
        </w:rPr>
      </w:pPr>
      <w:bookmarkStart w:id="6" w:name="_Toc351452804"/>
      <w:r w:rsidRPr="00CE052A">
        <w:lastRenderedPageBreak/>
        <w:t>2. Обзор цен предложения на первичном рынке нежилых помещений</w:t>
      </w:r>
      <w:r w:rsidR="00A40A3C">
        <w:t xml:space="preserve"> в Восточном и Т</w:t>
      </w:r>
      <w:r w:rsidRPr="00CE052A">
        <w:t>юменском микрорайонах</w:t>
      </w:r>
      <w:bookmarkEnd w:id="6"/>
    </w:p>
    <w:p w:rsidR="005E43BA" w:rsidRDefault="005A6032" w:rsidP="00433A9E">
      <w:r>
        <w:t xml:space="preserve">В рамках обзора была проанализирована ценовая ситуация на первичном рынке торгово-офисной недвижимости в Восточном и Тюменском микрорайонах. Специалистами аналитического отдела были рассмотрены нежилые помещения, расположенные на первых этажах жилых домов, во встроено-пристроенных помещениях и отдельно-стоящих зданиях. </w:t>
      </w:r>
    </w:p>
    <w:p w:rsidR="004206C8" w:rsidRDefault="004206C8" w:rsidP="00433A9E"/>
    <w:p w:rsidR="005A6032" w:rsidRPr="007F4CB3" w:rsidRDefault="007F4CB3" w:rsidP="00433A9E">
      <w:pPr>
        <w:spacing w:after="0"/>
        <w:jc w:val="center"/>
        <w:rPr>
          <w:rFonts w:cs="Times New Roman"/>
          <w:b/>
          <w:szCs w:val="24"/>
        </w:rPr>
      </w:pPr>
      <w:r>
        <w:rPr>
          <w:rFonts w:cs="Times New Roman"/>
          <w:b/>
          <w:szCs w:val="24"/>
        </w:rPr>
        <w:t>Перечень з</w:t>
      </w:r>
      <w:r w:rsidRPr="007F4CB3">
        <w:rPr>
          <w:rFonts w:cs="Times New Roman"/>
          <w:b/>
          <w:szCs w:val="24"/>
        </w:rPr>
        <w:t>астройщик</w:t>
      </w:r>
      <w:r>
        <w:rPr>
          <w:rFonts w:cs="Times New Roman"/>
          <w:b/>
          <w:szCs w:val="24"/>
        </w:rPr>
        <w:t>ов</w:t>
      </w:r>
      <w:r w:rsidRPr="007F4CB3">
        <w:rPr>
          <w:rFonts w:cs="Times New Roman"/>
          <w:b/>
          <w:szCs w:val="24"/>
        </w:rPr>
        <w:t>, предлагающи</w:t>
      </w:r>
      <w:r>
        <w:rPr>
          <w:rFonts w:cs="Times New Roman"/>
          <w:b/>
          <w:szCs w:val="24"/>
        </w:rPr>
        <w:t>х</w:t>
      </w:r>
      <w:r w:rsidRPr="007F4CB3">
        <w:rPr>
          <w:rFonts w:cs="Times New Roman"/>
          <w:b/>
          <w:szCs w:val="24"/>
        </w:rPr>
        <w:t xml:space="preserve"> нежилые помещения в новостройках Восточного и Тюменского микрорайонов.</w:t>
      </w:r>
    </w:p>
    <w:tbl>
      <w:tblPr>
        <w:tblStyle w:val="a8"/>
        <w:tblW w:w="0" w:type="auto"/>
        <w:jc w:val="center"/>
        <w:tblLook w:val="04A0"/>
      </w:tblPr>
      <w:tblGrid>
        <w:gridCol w:w="2014"/>
        <w:gridCol w:w="7964"/>
      </w:tblGrid>
      <w:tr w:rsidR="005A6032" w:rsidTr="00433A9E">
        <w:trPr>
          <w:jc w:val="center"/>
        </w:trPr>
        <w:tc>
          <w:tcPr>
            <w:tcW w:w="2014" w:type="dxa"/>
          </w:tcPr>
          <w:p w:rsidR="005A6032" w:rsidRDefault="00F6686E" w:rsidP="00433A9E">
            <w:pPr>
              <w:spacing w:after="0"/>
              <w:ind w:firstLine="0"/>
              <w:rPr>
                <w:rFonts w:cs="Times New Roman"/>
                <w:sz w:val="24"/>
                <w:szCs w:val="24"/>
              </w:rPr>
            </w:pPr>
            <w:r>
              <w:rPr>
                <w:rFonts w:cs="Times New Roman"/>
                <w:sz w:val="24"/>
                <w:szCs w:val="24"/>
              </w:rPr>
              <w:t>Район</w:t>
            </w:r>
          </w:p>
        </w:tc>
        <w:tc>
          <w:tcPr>
            <w:tcW w:w="7964" w:type="dxa"/>
          </w:tcPr>
          <w:p w:rsidR="005A6032" w:rsidRDefault="005A6032" w:rsidP="00433A9E">
            <w:pPr>
              <w:spacing w:after="0"/>
              <w:ind w:firstLine="0"/>
              <w:rPr>
                <w:rFonts w:cs="Times New Roman"/>
                <w:sz w:val="24"/>
                <w:szCs w:val="24"/>
              </w:rPr>
            </w:pPr>
            <w:r>
              <w:rPr>
                <w:rFonts w:cs="Times New Roman"/>
                <w:sz w:val="24"/>
                <w:szCs w:val="24"/>
              </w:rPr>
              <w:t>Застройщики</w:t>
            </w:r>
          </w:p>
        </w:tc>
      </w:tr>
      <w:tr w:rsidR="005A6032" w:rsidTr="00433A9E">
        <w:trPr>
          <w:jc w:val="center"/>
        </w:trPr>
        <w:tc>
          <w:tcPr>
            <w:tcW w:w="2014" w:type="dxa"/>
            <w:vAlign w:val="center"/>
          </w:tcPr>
          <w:p w:rsidR="005A6032" w:rsidRDefault="005A6032" w:rsidP="00433A9E">
            <w:pPr>
              <w:spacing w:after="0"/>
              <w:ind w:firstLine="0"/>
              <w:rPr>
                <w:rFonts w:cs="Times New Roman"/>
                <w:sz w:val="24"/>
                <w:szCs w:val="24"/>
              </w:rPr>
            </w:pPr>
            <w:r>
              <w:rPr>
                <w:rFonts w:cs="Times New Roman"/>
                <w:sz w:val="24"/>
                <w:szCs w:val="24"/>
              </w:rPr>
              <w:t xml:space="preserve">Восточный </w:t>
            </w:r>
            <w:proofErr w:type="spellStart"/>
            <w:r>
              <w:rPr>
                <w:rFonts w:cs="Times New Roman"/>
                <w:sz w:val="24"/>
                <w:szCs w:val="24"/>
              </w:rPr>
              <w:t>мкр</w:t>
            </w:r>
            <w:proofErr w:type="spellEnd"/>
            <w:r>
              <w:rPr>
                <w:rFonts w:cs="Times New Roman"/>
                <w:sz w:val="24"/>
                <w:szCs w:val="24"/>
              </w:rPr>
              <w:t>.</w:t>
            </w:r>
          </w:p>
        </w:tc>
        <w:tc>
          <w:tcPr>
            <w:tcW w:w="7964" w:type="dxa"/>
          </w:tcPr>
          <w:p w:rsidR="005A6032" w:rsidRDefault="005A6032" w:rsidP="00433A9E">
            <w:pPr>
              <w:spacing w:after="0"/>
              <w:ind w:firstLine="0"/>
              <w:rPr>
                <w:rFonts w:cs="Times New Roman"/>
                <w:sz w:val="24"/>
                <w:szCs w:val="24"/>
              </w:rPr>
            </w:pPr>
            <w:r>
              <w:rPr>
                <w:rFonts w:cs="Times New Roman"/>
                <w:sz w:val="24"/>
                <w:szCs w:val="24"/>
              </w:rPr>
              <w:t>ОАО «Жилищная социальная ипотека – Тюмень»,</w:t>
            </w:r>
          </w:p>
          <w:p w:rsidR="005A6032" w:rsidRDefault="005A6032" w:rsidP="00433A9E">
            <w:pPr>
              <w:spacing w:after="0"/>
              <w:ind w:firstLine="0"/>
              <w:rPr>
                <w:rFonts w:cs="Times New Roman"/>
                <w:sz w:val="24"/>
                <w:szCs w:val="24"/>
              </w:rPr>
            </w:pPr>
            <w:r>
              <w:rPr>
                <w:rFonts w:cs="Times New Roman"/>
                <w:sz w:val="24"/>
                <w:szCs w:val="24"/>
              </w:rPr>
              <w:t>ЗАО «</w:t>
            </w:r>
            <w:proofErr w:type="spellStart"/>
            <w:r>
              <w:rPr>
                <w:rFonts w:cs="Times New Roman"/>
                <w:sz w:val="24"/>
                <w:szCs w:val="24"/>
              </w:rPr>
              <w:t>Тюменинвестстрой</w:t>
            </w:r>
            <w:proofErr w:type="spellEnd"/>
            <w:r>
              <w:rPr>
                <w:rFonts w:cs="Times New Roman"/>
                <w:sz w:val="24"/>
                <w:szCs w:val="24"/>
              </w:rPr>
              <w:t>»,</w:t>
            </w:r>
          </w:p>
          <w:p w:rsidR="005A6032" w:rsidRDefault="005A6032" w:rsidP="00433A9E">
            <w:pPr>
              <w:spacing w:after="0"/>
              <w:ind w:firstLine="0"/>
              <w:rPr>
                <w:rFonts w:cs="Times New Roman"/>
                <w:sz w:val="24"/>
                <w:szCs w:val="24"/>
              </w:rPr>
            </w:pPr>
            <w:r>
              <w:rPr>
                <w:rFonts w:cs="Times New Roman"/>
                <w:sz w:val="24"/>
                <w:szCs w:val="24"/>
              </w:rPr>
              <w:t>ОАО «Тюменская домостроительная компания»,</w:t>
            </w:r>
          </w:p>
          <w:p w:rsidR="005A6032" w:rsidRDefault="005A6032" w:rsidP="00433A9E">
            <w:pPr>
              <w:spacing w:after="0"/>
              <w:ind w:firstLine="0"/>
              <w:rPr>
                <w:rFonts w:cs="Times New Roman"/>
                <w:sz w:val="24"/>
                <w:szCs w:val="24"/>
              </w:rPr>
            </w:pPr>
            <w:r>
              <w:rPr>
                <w:rFonts w:cs="Times New Roman"/>
                <w:sz w:val="24"/>
                <w:szCs w:val="24"/>
              </w:rPr>
              <w:t>ООО «УКС»</w:t>
            </w:r>
          </w:p>
        </w:tc>
      </w:tr>
      <w:tr w:rsidR="005A6032" w:rsidTr="00433A9E">
        <w:trPr>
          <w:jc w:val="center"/>
        </w:trPr>
        <w:tc>
          <w:tcPr>
            <w:tcW w:w="2014" w:type="dxa"/>
            <w:vAlign w:val="center"/>
          </w:tcPr>
          <w:p w:rsidR="005A6032" w:rsidRDefault="005A6032" w:rsidP="00433A9E">
            <w:pPr>
              <w:spacing w:after="0"/>
              <w:ind w:firstLine="0"/>
              <w:rPr>
                <w:rFonts w:cs="Times New Roman"/>
                <w:sz w:val="24"/>
                <w:szCs w:val="24"/>
              </w:rPr>
            </w:pPr>
            <w:r>
              <w:rPr>
                <w:rFonts w:cs="Times New Roman"/>
                <w:sz w:val="24"/>
                <w:szCs w:val="24"/>
              </w:rPr>
              <w:t xml:space="preserve">Тюменский </w:t>
            </w:r>
            <w:proofErr w:type="spellStart"/>
            <w:r>
              <w:rPr>
                <w:rFonts w:cs="Times New Roman"/>
                <w:sz w:val="24"/>
                <w:szCs w:val="24"/>
              </w:rPr>
              <w:t>мкр</w:t>
            </w:r>
            <w:proofErr w:type="spellEnd"/>
            <w:r>
              <w:rPr>
                <w:rFonts w:cs="Times New Roman"/>
                <w:sz w:val="24"/>
                <w:szCs w:val="24"/>
              </w:rPr>
              <w:t>.</w:t>
            </w:r>
          </w:p>
        </w:tc>
        <w:tc>
          <w:tcPr>
            <w:tcW w:w="7964" w:type="dxa"/>
          </w:tcPr>
          <w:p w:rsidR="005A6032" w:rsidRDefault="005A6032" w:rsidP="00433A9E">
            <w:pPr>
              <w:spacing w:after="0"/>
              <w:ind w:firstLine="0"/>
              <w:rPr>
                <w:rFonts w:cs="Times New Roman"/>
                <w:sz w:val="24"/>
                <w:szCs w:val="24"/>
              </w:rPr>
            </w:pPr>
            <w:r>
              <w:rPr>
                <w:rFonts w:cs="Times New Roman"/>
                <w:sz w:val="24"/>
                <w:szCs w:val="24"/>
              </w:rPr>
              <w:t>ОАО «</w:t>
            </w:r>
            <w:r w:rsidRPr="005A6032">
              <w:rPr>
                <w:rFonts w:cs="Times New Roman"/>
                <w:sz w:val="24"/>
                <w:szCs w:val="24"/>
              </w:rPr>
              <w:t xml:space="preserve">Агентство по ипотечному жилищному кредитованию по </w:t>
            </w:r>
            <w:r w:rsidR="00433A9E">
              <w:rPr>
                <w:rFonts w:cs="Times New Roman"/>
                <w:sz w:val="24"/>
                <w:szCs w:val="24"/>
              </w:rPr>
              <w:t>ТО</w:t>
            </w:r>
            <w:r>
              <w:rPr>
                <w:rFonts w:cs="Times New Roman"/>
                <w:sz w:val="24"/>
                <w:szCs w:val="24"/>
              </w:rPr>
              <w:t>»,</w:t>
            </w:r>
          </w:p>
          <w:p w:rsidR="005A6032" w:rsidRDefault="005A6032" w:rsidP="00433A9E">
            <w:pPr>
              <w:spacing w:after="0"/>
              <w:ind w:firstLine="0"/>
              <w:rPr>
                <w:rFonts w:cs="Times New Roman"/>
                <w:sz w:val="24"/>
                <w:szCs w:val="24"/>
              </w:rPr>
            </w:pPr>
            <w:r>
              <w:rPr>
                <w:rFonts w:cs="Times New Roman"/>
                <w:sz w:val="24"/>
                <w:szCs w:val="24"/>
              </w:rPr>
              <w:t>ООО «ИНКО и К»,</w:t>
            </w:r>
          </w:p>
          <w:p w:rsidR="005A6032" w:rsidRDefault="005A6032" w:rsidP="00433A9E">
            <w:pPr>
              <w:spacing w:after="0"/>
              <w:ind w:firstLine="0"/>
              <w:rPr>
                <w:rFonts w:cs="Times New Roman"/>
                <w:sz w:val="24"/>
                <w:szCs w:val="24"/>
              </w:rPr>
            </w:pPr>
            <w:r>
              <w:rPr>
                <w:rFonts w:cs="Times New Roman"/>
                <w:sz w:val="24"/>
                <w:szCs w:val="24"/>
              </w:rPr>
              <w:t>ОАО «Тюменская домостроительная компания»</w:t>
            </w:r>
          </w:p>
        </w:tc>
      </w:tr>
    </w:tbl>
    <w:p w:rsidR="005A6032" w:rsidRDefault="005A6032" w:rsidP="00433A9E"/>
    <w:p w:rsidR="0062020E" w:rsidRDefault="007F4CB3" w:rsidP="00433A9E">
      <w:r>
        <w:t>В целом по двум районам средняя цена на нежилые помещения составила 55,3 тыс. руб. за кв. м (без учета помещений в цокольном этаже). Все цены находились в диапазоне от 37,8 до 69,0</w:t>
      </w:r>
      <w:r w:rsidRPr="007F4CB3">
        <w:t xml:space="preserve"> </w:t>
      </w:r>
      <w:r>
        <w:t xml:space="preserve">тыс. руб. за кв. м. </w:t>
      </w:r>
    </w:p>
    <w:p w:rsidR="0062020E" w:rsidRDefault="0062020E" w:rsidP="00433A9E">
      <w:r>
        <w:t>В Восточном микрорайоне средняя цена составила 62,6</w:t>
      </w:r>
      <w:r w:rsidRPr="0062020E">
        <w:t xml:space="preserve"> </w:t>
      </w:r>
      <w:r>
        <w:t>тыс. руб. за кв. м. Были выставлены на продажу помещения как в сданных домах, так</w:t>
      </w:r>
      <w:r w:rsidR="00C176CA">
        <w:t xml:space="preserve"> и</w:t>
      </w:r>
      <w:r>
        <w:t xml:space="preserve"> в домах со сроком сдачи 2013-2014 гг. </w:t>
      </w:r>
    </w:p>
    <w:p w:rsidR="0062020E" w:rsidRDefault="0062020E" w:rsidP="00433A9E">
      <w:r>
        <w:t>В Тюменском микрорайоне предлагались к реализации помещения только в сданных домах</w:t>
      </w:r>
      <w:r w:rsidR="00B02854">
        <w:t>,</w:t>
      </w:r>
      <w:r>
        <w:t xml:space="preserve"> средняя цена составила 47,4</w:t>
      </w:r>
      <w:r w:rsidRPr="0062020E">
        <w:t xml:space="preserve"> </w:t>
      </w:r>
      <w:r>
        <w:t xml:space="preserve">тыс. руб. за кв. м. </w:t>
      </w:r>
    </w:p>
    <w:p w:rsidR="00DE1BA4" w:rsidRDefault="00DE1BA4" w:rsidP="00433A9E"/>
    <w:p w:rsidR="007F4CB3" w:rsidRPr="00DE1BA4" w:rsidRDefault="00DE1BA4" w:rsidP="00433A9E">
      <w:pPr>
        <w:spacing w:after="0"/>
        <w:jc w:val="center"/>
        <w:rPr>
          <w:rFonts w:cs="Times New Roman"/>
          <w:b/>
          <w:szCs w:val="24"/>
        </w:rPr>
      </w:pPr>
      <w:r w:rsidRPr="00DE1BA4">
        <w:rPr>
          <w:rFonts w:cs="Times New Roman"/>
          <w:b/>
          <w:szCs w:val="24"/>
        </w:rPr>
        <w:t>Средние цены в Восточном и Тюменском микрорайонах в зависимости от срока сдачи объекта</w:t>
      </w:r>
    </w:p>
    <w:tbl>
      <w:tblPr>
        <w:tblStyle w:val="a8"/>
        <w:tblW w:w="0" w:type="auto"/>
        <w:jc w:val="center"/>
        <w:tblLook w:val="04A0"/>
      </w:tblPr>
      <w:tblGrid>
        <w:gridCol w:w="1914"/>
        <w:gridCol w:w="1914"/>
        <w:gridCol w:w="1914"/>
        <w:gridCol w:w="1914"/>
        <w:gridCol w:w="1915"/>
      </w:tblGrid>
      <w:tr w:rsidR="007F4CB3" w:rsidRPr="0062020E" w:rsidTr="00433A9E">
        <w:trPr>
          <w:jc w:val="center"/>
        </w:trPr>
        <w:tc>
          <w:tcPr>
            <w:tcW w:w="1914" w:type="dxa"/>
            <w:vAlign w:val="bottom"/>
          </w:tcPr>
          <w:p w:rsidR="007F4CB3" w:rsidRPr="0062020E" w:rsidRDefault="00F6686E" w:rsidP="00433A9E">
            <w:pPr>
              <w:spacing w:after="0"/>
              <w:ind w:firstLine="0"/>
              <w:rPr>
                <w:rFonts w:cs="Times New Roman"/>
                <w:color w:val="000000"/>
              </w:rPr>
            </w:pPr>
            <w:r>
              <w:rPr>
                <w:rFonts w:cs="Times New Roman"/>
                <w:color w:val="000000"/>
              </w:rPr>
              <w:t>Район</w:t>
            </w:r>
          </w:p>
        </w:tc>
        <w:tc>
          <w:tcPr>
            <w:tcW w:w="1914" w:type="dxa"/>
            <w:vAlign w:val="bottom"/>
          </w:tcPr>
          <w:p w:rsidR="007F4CB3" w:rsidRPr="0062020E" w:rsidRDefault="007F4CB3" w:rsidP="00433A9E">
            <w:pPr>
              <w:spacing w:after="0"/>
              <w:ind w:firstLine="0"/>
              <w:jc w:val="center"/>
              <w:rPr>
                <w:rFonts w:cs="Times New Roman"/>
                <w:color w:val="000000"/>
              </w:rPr>
            </w:pPr>
            <w:r w:rsidRPr="0062020E">
              <w:rPr>
                <w:rFonts w:cs="Times New Roman"/>
                <w:color w:val="000000"/>
              </w:rPr>
              <w:t>Все</w:t>
            </w:r>
          </w:p>
        </w:tc>
        <w:tc>
          <w:tcPr>
            <w:tcW w:w="1914" w:type="dxa"/>
            <w:vAlign w:val="bottom"/>
          </w:tcPr>
          <w:p w:rsidR="007F4CB3" w:rsidRPr="0062020E" w:rsidRDefault="007F4CB3" w:rsidP="00433A9E">
            <w:pPr>
              <w:spacing w:after="0"/>
              <w:ind w:firstLine="0"/>
              <w:jc w:val="center"/>
              <w:rPr>
                <w:rFonts w:cs="Times New Roman"/>
                <w:color w:val="000000"/>
              </w:rPr>
            </w:pPr>
            <w:r w:rsidRPr="0062020E">
              <w:rPr>
                <w:rFonts w:cs="Times New Roman"/>
                <w:color w:val="000000"/>
              </w:rPr>
              <w:t>Дом сдан</w:t>
            </w:r>
          </w:p>
        </w:tc>
        <w:tc>
          <w:tcPr>
            <w:tcW w:w="1914" w:type="dxa"/>
            <w:vAlign w:val="bottom"/>
          </w:tcPr>
          <w:p w:rsidR="007F4CB3" w:rsidRPr="0062020E" w:rsidRDefault="007F4CB3" w:rsidP="00433A9E">
            <w:pPr>
              <w:spacing w:after="0"/>
              <w:ind w:firstLine="0"/>
              <w:jc w:val="center"/>
              <w:rPr>
                <w:rFonts w:cs="Times New Roman"/>
                <w:color w:val="000000"/>
              </w:rPr>
            </w:pPr>
            <w:r w:rsidRPr="0062020E">
              <w:rPr>
                <w:rFonts w:cs="Times New Roman"/>
                <w:color w:val="000000"/>
              </w:rPr>
              <w:t>2013</w:t>
            </w:r>
          </w:p>
        </w:tc>
        <w:tc>
          <w:tcPr>
            <w:tcW w:w="1915" w:type="dxa"/>
            <w:vAlign w:val="bottom"/>
          </w:tcPr>
          <w:p w:rsidR="007F4CB3" w:rsidRPr="0062020E" w:rsidRDefault="007F4CB3" w:rsidP="00433A9E">
            <w:pPr>
              <w:spacing w:after="0"/>
              <w:ind w:firstLine="0"/>
              <w:jc w:val="center"/>
              <w:rPr>
                <w:rFonts w:cs="Times New Roman"/>
                <w:color w:val="000000"/>
              </w:rPr>
            </w:pPr>
            <w:r w:rsidRPr="0062020E">
              <w:rPr>
                <w:rFonts w:cs="Times New Roman"/>
                <w:color w:val="000000"/>
              </w:rPr>
              <w:t>2014</w:t>
            </w:r>
          </w:p>
        </w:tc>
      </w:tr>
      <w:tr w:rsidR="0062020E" w:rsidRPr="0062020E" w:rsidTr="00433A9E">
        <w:trPr>
          <w:jc w:val="center"/>
        </w:trPr>
        <w:tc>
          <w:tcPr>
            <w:tcW w:w="1914" w:type="dxa"/>
            <w:vAlign w:val="bottom"/>
          </w:tcPr>
          <w:p w:rsidR="0062020E" w:rsidRPr="0062020E" w:rsidRDefault="0062020E" w:rsidP="00433A9E">
            <w:pPr>
              <w:spacing w:after="0"/>
              <w:ind w:firstLine="0"/>
              <w:rPr>
                <w:rFonts w:cs="Times New Roman"/>
                <w:color w:val="000000"/>
              </w:rPr>
            </w:pPr>
            <w:r w:rsidRPr="0062020E">
              <w:rPr>
                <w:rFonts w:cs="Times New Roman"/>
                <w:color w:val="000000"/>
              </w:rPr>
              <w:t xml:space="preserve">Восточный </w:t>
            </w:r>
            <w:proofErr w:type="spellStart"/>
            <w:r w:rsidRPr="0062020E">
              <w:rPr>
                <w:rFonts w:cs="Times New Roman"/>
                <w:color w:val="000000"/>
              </w:rPr>
              <w:t>мкр</w:t>
            </w:r>
            <w:proofErr w:type="spellEnd"/>
            <w:r w:rsidRPr="0062020E">
              <w:rPr>
                <w:rFonts w:cs="Times New Roman"/>
                <w:color w:val="000000"/>
              </w:rPr>
              <w:t>.</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62 617</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57 475</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64 694</w:t>
            </w:r>
          </w:p>
        </w:tc>
        <w:tc>
          <w:tcPr>
            <w:tcW w:w="1915"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61 767</w:t>
            </w:r>
          </w:p>
        </w:tc>
      </w:tr>
      <w:tr w:rsidR="0062020E" w:rsidRPr="0062020E" w:rsidTr="00433A9E">
        <w:trPr>
          <w:jc w:val="center"/>
        </w:trPr>
        <w:tc>
          <w:tcPr>
            <w:tcW w:w="1914" w:type="dxa"/>
            <w:vAlign w:val="bottom"/>
          </w:tcPr>
          <w:p w:rsidR="0062020E" w:rsidRPr="0062020E" w:rsidRDefault="0062020E" w:rsidP="00433A9E">
            <w:pPr>
              <w:spacing w:after="0"/>
              <w:ind w:firstLine="0"/>
              <w:rPr>
                <w:rFonts w:cs="Times New Roman"/>
                <w:color w:val="000000"/>
              </w:rPr>
            </w:pPr>
            <w:r w:rsidRPr="0062020E">
              <w:rPr>
                <w:rFonts w:cs="Times New Roman"/>
                <w:color w:val="000000"/>
              </w:rPr>
              <w:t xml:space="preserve">Тюменский </w:t>
            </w:r>
            <w:proofErr w:type="spellStart"/>
            <w:r w:rsidRPr="0062020E">
              <w:rPr>
                <w:rFonts w:cs="Times New Roman"/>
                <w:color w:val="000000"/>
              </w:rPr>
              <w:t>мкр</w:t>
            </w:r>
            <w:proofErr w:type="spellEnd"/>
            <w:r w:rsidRPr="0062020E">
              <w:rPr>
                <w:rFonts w:cs="Times New Roman"/>
                <w:color w:val="000000"/>
              </w:rPr>
              <w:t>.</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47 365</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47 365</w:t>
            </w:r>
          </w:p>
        </w:tc>
        <w:tc>
          <w:tcPr>
            <w:tcW w:w="1914"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w:t>
            </w:r>
          </w:p>
        </w:tc>
        <w:tc>
          <w:tcPr>
            <w:tcW w:w="1915" w:type="dxa"/>
            <w:vAlign w:val="bottom"/>
          </w:tcPr>
          <w:p w:rsidR="0062020E" w:rsidRPr="0062020E" w:rsidRDefault="0062020E" w:rsidP="00433A9E">
            <w:pPr>
              <w:spacing w:after="0"/>
              <w:ind w:firstLine="0"/>
              <w:jc w:val="center"/>
              <w:rPr>
                <w:rFonts w:cs="Times New Roman"/>
                <w:color w:val="000000"/>
              </w:rPr>
            </w:pPr>
            <w:r w:rsidRPr="0062020E">
              <w:rPr>
                <w:rFonts w:cs="Times New Roman"/>
                <w:color w:val="000000"/>
              </w:rPr>
              <w:t>-</w:t>
            </w:r>
          </w:p>
        </w:tc>
      </w:tr>
    </w:tbl>
    <w:p w:rsidR="0062020E" w:rsidRDefault="0062020E" w:rsidP="00433A9E"/>
    <w:p w:rsidR="00F6686E" w:rsidRPr="00DE1BA4" w:rsidRDefault="00DE1BA4" w:rsidP="00433A9E">
      <w:pPr>
        <w:spacing w:after="0"/>
        <w:jc w:val="center"/>
        <w:rPr>
          <w:rFonts w:cs="Times New Roman"/>
          <w:b/>
          <w:szCs w:val="24"/>
        </w:rPr>
      </w:pPr>
      <w:r w:rsidRPr="00DE1BA4">
        <w:rPr>
          <w:rFonts w:cs="Times New Roman"/>
          <w:b/>
          <w:szCs w:val="24"/>
        </w:rPr>
        <w:t xml:space="preserve">Средние цены в Восточном и Тюменском микрорайонах </w:t>
      </w:r>
      <w:r>
        <w:rPr>
          <w:rFonts w:cs="Times New Roman"/>
          <w:b/>
          <w:szCs w:val="24"/>
        </w:rPr>
        <w:t>в зависимости от застройщика</w:t>
      </w:r>
    </w:p>
    <w:tbl>
      <w:tblPr>
        <w:tblStyle w:val="a8"/>
        <w:tblW w:w="0" w:type="auto"/>
        <w:jc w:val="center"/>
        <w:tblLook w:val="04A0"/>
      </w:tblPr>
      <w:tblGrid>
        <w:gridCol w:w="2376"/>
        <w:gridCol w:w="2552"/>
        <w:gridCol w:w="1843"/>
        <w:gridCol w:w="2800"/>
      </w:tblGrid>
      <w:tr w:rsidR="00F37C24" w:rsidRPr="00F6686E" w:rsidTr="00433A9E">
        <w:trPr>
          <w:jc w:val="center"/>
        </w:trPr>
        <w:tc>
          <w:tcPr>
            <w:tcW w:w="2376" w:type="dxa"/>
          </w:tcPr>
          <w:p w:rsidR="00F37C24" w:rsidRPr="00F6686E" w:rsidRDefault="00F37C24" w:rsidP="00433A9E">
            <w:pPr>
              <w:spacing w:after="0"/>
              <w:ind w:firstLine="0"/>
              <w:rPr>
                <w:rFonts w:cs="Times New Roman"/>
              </w:rPr>
            </w:pPr>
            <w:r>
              <w:rPr>
                <w:rFonts w:cs="Times New Roman"/>
              </w:rPr>
              <w:t>Район</w:t>
            </w:r>
          </w:p>
        </w:tc>
        <w:tc>
          <w:tcPr>
            <w:tcW w:w="2552" w:type="dxa"/>
          </w:tcPr>
          <w:p w:rsidR="00F37C24" w:rsidRPr="00F6686E" w:rsidRDefault="00F37C24" w:rsidP="00433A9E">
            <w:pPr>
              <w:spacing w:after="0"/>
              <w:ind w:firstLine="0"/>
              <w:rPr>
                <w:rFonts w:cs="Times New Roman"/>
              </w:rPr>
            </w:pPr>
            <w:r>
              <w:rPr>
                <w:rFonts w:cs="Times New Roman"/>
              </w:rPr>
              <w:t>Застройщик</w:t>
            </w:r>
          </w:p>
        </w:tc>
        <w:tc>
          <w:tcPr>
            <w:tcW w:w="1843" w:type="dxa"/>
          </w:tcPr>
          <w:p w:rsidR="00F37C24" w:rsidRPr="00F6686E" w:rsidRDefault="00F37C24" w:rsidP="00433A9E">
            <w:pPr>
              <w:spacing w:after="0"/>
              <w:ind w:firstLine="0"/>
              <w:jc w:val="center"/>
              <w:rPr>
                <w:rFonts w:cs="Times New Roman"/>
              </w:rPr>
            </w:pPr>
            <w:r>
              <w:rPr>
                <w:rFonts w:cs="Times New Roman"/>
              </w:rPr>
              <w:t>Средняя цена, руб./кв.м</w:t>
            </w:r>
          </w:p>
        </w:tc>
        <w:tc>
          <w:tcPr>
            <w:tcW w:w="2800" w:type="dxa"/>
          </w:tcPr>
          <w:p w:rsidR="00F37C24" w:rsidRDefault="00F37C24" w:rsidP="00433A9E">
            <w:pPr>
              <w:spacing w:after="0"/>
              <w:ind w:firstLine="0"/>
              <w:jc w:val="center"/>
              <w:rPr>
                <w:rFonts w:cs="Times New Roman"/>
              </w:rPr>
            </w:pPr>
            <w:r>
              <w:rPr>
                <w:rFonts w:cs="Times New Roman"/>
              </w:rPr>
              <w:t>Материал стен</w:t>
            </w:r>
          </w:p>
        </w:tc>
      </w:tr>
      <w:tr w:rsidR="00F37C24" w:rsidRPr="00F6686E" w:rsidTr="00433A9E">
        <w:trPr>
          <w:jc w:val="center"/>
        </w:trPr>
        <w:tc>
          <w:tcPr>
            <w:tcW w:w="2376" w:type="dxa"/>
            <w:vMerge w:val="restart"/>
            <w:vAlign w:val="center"/>
          </w:tcPr>
          <w:p w:rsidR="00F37C24" w:rsidRPr="00F6686E" w:rsidRDefault="00F37C24" w:rsidP="00433A9E">
            <w:pPr>
              <w:spacing w:after="0"/>
              <w:ind w:firstLine="0"/>
              <w:rPr>
                <w:rFonts w:cs="Times New Roman"/>
              </w:rPr>
            </w:pPr>
            <w:r w:rsidRPr="00F6686E">
              <w:rPr>
                <w:rFonts w:cs="Times New Roman"/>
              </w:rPr>
              <w:t xml:space="preserve">Восточный </w:t>
            </w:r>
            <w:proofErr w:type="spellStart"/>
            <w:r w:rsidRPr="00F6686E">
              <w:rPr>
                <w:rFonts w:cs="Times New Roman"/>
              </w:rPr>
              <w:t>мкр</w:t>
            </w:r>
            <w:proofErr w:type="spellEnd"/>
            <w:r w:rsidRPr="00F6686E">
              <w:rPr>
                <w:rFonts w:cs="Times New Roman"/>
              </w:rPr>
              <w:t>.</w:t>
            </w: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ОАО "</w:t>
            </w:r>
            <w:proofErr w:type="spellStart"/>
            <w:r w:rsidRPr="00F6686E">
              <w:rPr>
                <w:rFonts w:cs="Times New Roman"/>
              </w:rPr>
              <w:t>Жилсоципотека</w:t>
            </w:r>
            <w:proofErr w:type="spellEnd"/>
            <w:r w:rsidRPr="00F6686E">
              <w:rPr>
                <w:rFonts w:cs="Times New Roman"/>
              </w:rPr>
              <w:t>"</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60 000</w:t>
            </w:r>
          </w:p>
        </w:tc>
        <w:tc>
          <w:tcPr>
            <w:tcW w:w="2800" w:type="dxa"/>
          </w:tcPr>
          <w:p w:rsidR="00F37C24" w:rsidRPr="00F6686E" w:rsidRDefault="00F37C24" w:rsidP="00433A9E">
            <w:pPr>
              <w:spacing w:after="0"/>
              <w:ind w:firstLine="0"/>
              <w:jc w:val="center"/>
              <w:rPr>
                <w:rFonts w:cs="Times New Roman"/>
              </w:rPr>
            </w:pPr>
            <w:r w:rsidRPr="004A0172">
              <w:rPr>
                <w:rFonts w:cs="Times New Roman"/>
              </w:rPr>
              <w:t>Монолитный каркас</w:t>
            </w:r>
          </w:p>
        </w:tc>
      </w:tr>
      <w:tr w:rsidR="00F37C24" w:rsidRPr="00F6686E" w:rsidTr="00433A9E">
        <w:trPr>
          <w:jc w:val="center"/>
        </w:trPr>
        <w:tc>
          <w:tcPr>
            <w:tcW w:w="2376" w:type="dxa"/>
            <w:vMerge/>
            <w:vAlign w:val="center"/>
          </w:tcPr>
          <w:p w:rsidR="00F37C24" w:rsidRPr="00F6686E" w:rsidRDefault="00F37C24" w:rsidP="00433A9E">
            <w:pPr>
              <w:spacing w:after="0"/>
              <w:ind w:firstLine="0"/>
              <w:rPr>
                <w:rFonts w:cs="Times New Roman"/>
              </w:rPr>
            </w:pPr>
          </w:p>
        </w:tc>
        <w:tc>
          <w:tcPr>
            <w:tcW w:w="2552" w:type="dxa"/>
            <w:vAlign w:val="bottom"/>
          </w:tcPr>
          <w:p w:rsidR="00F37C24" w:rsidRPr="00F6686E" w:rsidRDefault="00F37C24" w:rsidP="00433A9E">
            <w:pPr>
              <w:spacing w:after="0"/>
              <w:ind w:firstLine="0"/>
              <w:rPr>
                <w:rFonts w:cs="Times New Roman"/>
              </w:rPr>
            </w:pPr>
            <w:r w:rsidRPr="00F6686E">
              <w:rPr>
                <w:rFonts w:cs="Times New Roman"/>
              </w:rPr>
              <w:t>ЗАО "ТИС"</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64 415</w:t>
            </w:r>
          </w:p>
        </w:tc>
        <w:tc>
          <w:tcPr>
            <w:tcW w:w="2800" w:type="dxa"/>
          </w:tcPr>
          <w:p w:rsidR="00F37C24" w:rsidRPr="00F6686E" w:rsidRDefault="00F37C24" w:rsidP="00433A9E">
            <w:pPr>
              <w:spacing w:after="0"/>
              <w:ind w:firstLine="0"/>
              <w:jc w:val="center"/>
              <w:rPr>
                <w:rFonts w:cs="Times New Roman"/>
              </w:rPr>
            </w:pPr>
            <w:r>
              <w:rPr>
                <w:rFonts w:cs="Times New Roman"/>
              </w:rPr>
              <w:t>Кирпич</w:t>
            </w:r>
          </w:p>
        </w:tc>
      </w:tr>
      <w:tr w:rsidR="00F37C24" w:rsidRPr="00F6686E" w:rsidTr="00433A9E">
        <w:trPr>
          <w:jc w:val="center"/>
        </w:trPr>
        <w:tc>
          <w:tcPr>
            <w:tcW w:w="2376" w:type="dxa"/>
            <w:vMerge/>
            <w:vAlign w:val="center"/>
          </w:tcPr>
          <w:p w:rsidR="00F37C24" w:rsidRPr="00F6686E" w:rsidRDefault="00F37C24" w:rsidP="00433A9E">
            <w:pPr>
              <w:spacing w:after="0"/>
              <w:ind w:firstLine="0"/>
              <w:rPr>
                <w:rFonts w:cs="Times New Roman"/>
              </w:rPr>
            </w:pP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ОАО "ТДСК"</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64 634</w:t>
            </w:r>
          </w:p>
        </w:tc>
        <w:tc>
          <w:tcPr>
            <w:tcW w:w="2800" w:type="dxa"/>
          </w:tcPr>
          <w:p w:rsidR="00F37C24" w:rsidRPr="00F6686E" w:rsidRDefault="00F37C24" w:rsidP="00433A9E">
            <w:pPr>
              <w:spacing w:after="0"/>
              <w:ind w:firstLine="0"/>
              <w:jc w:val="center"/>
              <w:rPr>
                <w:rFonts w:cs="Times New Roman"/>
              </w:rPr>
            </w:pPr>
            <w:r>
              <w:rPr>
                <w:rFonts w:cs="Times New Roman"/>
              </w:rPr>
              <w:t>Панель</w:t>
            </w:r>
          </w:p>
        </w:tc>
      </w:tr>
      <w:tr w:rsidR="00F37C24" w:rsidRPr="00F6686E" w:rsidTr="00433A9E">
        <w:trPr>
          <w:jc w:val="center"/>
        </w:trPr>
        <w:tc>
          <w:tcPr>
            <w:tcW w:w="2376" w:type="dxa"/>
            <w:vMerge/>
            <w:vAlign w:val="center"/>
          </w:tcPr>
          <w:p w:rsidR="00F37C24" w:rsidRPr="00F6686E" w:rsidRDefault="00F37C24" w:rsidP="00433A9E">
            <w:pPr>
              <w:spacing w:after="0"/>
              <w:ind w:firstLine="0"/>
              <w:rPr>
                <w:rFonts w:cs="Times New Roman"/>
              </w:rPr>
            </w:pP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ООО "УКС"</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55 587</w:t>
            </w:r>
          </w:p>
        </w:tc>
        <w:tc>
          <w:tcPr>
            <w:tcW w:w="2800" w:type="dxa"/>
          </w:tcPr>
          <w:p w:rsidR="00F37C24" w:rsidRPr="00F6686E" w:rsidRDefault="00F37C24" w:rsidP="00433A9E">
            <w:pPr>
              <w:spacing w:after="0"/>
              <w:ind w:firstLine="0"/>
              <w:jc w:val="center"/>
              <w:rPr>
                <w:rFonts w:cs="Times New Roman"/>
              </w:rPr>
            </w:pPr>
            <w:r>
              <w:rPr>
                <w:rFonts w:cs="Times New Roman"/>
              </w:rPr>
              <w:t>Кирпич</w:t>
            </w:r>
          </w:p>
        </w:tc>
      </w:tr>
      <w:tr w:rsidR="00F37C24" w:rsidRPr="00F6686E" w:rsidTr="00433A9E">
        <w:trPr>
          <w:jc w:val="center"/>
        </w:trPr>
        <w:tc>
          <w:tcPr>
            <w:tcW w:w="2376" w:type="dxa"/>
            <w:vMerge w:val="restart"/>
            <w:vAlign w:val="center"/>
          </w:tcPr>
          <w:p w:rsidR="00F37C24" w:rsidRPr="00F6686E" w:rsidRDefault="00F37C24" w:rsidP="00433A9E">
            <w:pPr>
              <w:spacing w:after="0"/>
              <w:ind w:firstLine="0"/>
              <w:rPr>
                <w:rFonts w:cs="Times New Roman"/>
              </w:rPr>
            </w:pPr>
            <w:r w:rsidRPr="00F6686E">
              <w:rPr>
                <w:rFonts w:cs="Times New Roman"/>
              </w:rPr>
              <w:t xml:space="preserve">Тюменский </w:t>
            </w:r>
            <w:proofErr w:type="spellStart"/>
            <w:r w:rsidRPr="00F6686E">
              <w:rPr>
                <w:rFonts w:cs="Times New Roman"/>
              </w:rPr>
              <w:t>мкр</w:t>
            </w:r>
            <w:proofErr w:type="spellEnd"/>
            <w:r w:rsidRPr="00F6686E">
              <w:rPr>
                <w:rFonts w:cs="Times New Roman"/>
              </w:rPr>
              <w:t>.</w:t>
            </w: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ОАО "АИЖК"</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50 526</w:t>
            </w:r>
          </w:p>
        </w:tc>
        <w:tc>
          <w:tcPr>
            <w:tcW w:w="2800" w:type="dxa"/>
          </w:tcPr>
          <w:p w:rsidR="00F37C24" w:rsidRPr="00F6686E" w:rsidRDefault="00F37C24" w:rsidP="00433A9E">
            <w:pPr>
              <w:spacing w:after="0"/>
              <w:ind w:firstLine="0"/>
              <w:jc w:val="center"/>
              <w:rPr>
                <w:rFonts w:cs="Times New Roman"/>
              </w:rPr>
            </w:pPr>
            <w:r w:rsidRPr="004A0172">
              <w:rPr>
                <w:rFonts w:cs="Times New Roman"/>
              </w:rPr>
              <w:t>Монолитный каркас</w:t>
            </w:r>
          </w:p>
        </w:tc>
      </w:tr>
      <w:tr w:rsidR="00F37C24" w:rsidRPr="00F6686E" w:rsidTr="00433A9E">
        <w:trPr>
          <w:jc w:val="center"/>
        </w:trPr>
        <w:tc>
          <w:tcPr>
            <w:tcW w:w="2376" w:type="dxa"/>
            <w:vMerge/>
            <w:vAlign w:val="bottom"/>
          </w:tcPr>
          <w:p w:rsidR="00F37C24" w:rsidRPr="00F6686E" w:rsidRDefault="00F37C24" w:rsidP="00433A9E">
            <w:pPr>
              <w:spacing w:after="0"/>
              <w:ind w:firstLine="0"/>
              <w:rPr>
                <w:rFonts w:cs="Times New Roman"/>
              </w:rPr>
            </w:pPr>
          </w:p>
        </w:tc>
        <w:tc>
          <w:tcPr>
            <w:tcW w:w="2552" w:type="dxa"/>
            <w:vAlign w:val="center"/>
          </w:tcPr>
          <w:p w:rsidR="00F37C24" w:rsidRPr="00F6686E" w:rsidRDefault="00F37C24" w:rsidP="00433A9E">
            <w:pPr>
              <w:spacing w:after="0"/>
              <w:ind w:firstLine="0"/>
              <w:rPr>
                <w:rFonts w:cs="Times New Roman"/>
              </w:rPr>
            </w:pPr>
            <w:r w:rsidRPr="00F6686E">
              <w:rPr>
                <w:rFonts w:cs="Times New Roman"/>
              </w:rPr>
              <w:t>ГК "ДОМ"</w:t>
            </w:r>
          </w:p>
        </w:tc>
        <w:tc>
          <w:tcPr>
            <w:tcW w:w="1843" w:type="dxa"/>
            <w:vAlign w:val="center"/>
          </w:tcPr>
          <w:p w:rsidR="00F37C24" w:rsidRPr="00F6686E" w:rsidRDefault="00F37C24" w:rsidP="00433A9E">
            <w:pPr>
              <w:spacing w:after="0"/>
              <w:ind w:firstLine="0"/>
              <w:jc w:val="center"/>
              <w:rPr>
                <w:rFonts w:cs="Times New Roman"/>
              </w:rPr>
            </w:pPr>
            <w:r w:rsidRPr="00F6686E">
              <w:rPr>
                <w:rFonts w:cs="Times New Roman"/>
              </w:rPr>
              <w:t>41 567</w:t>
            </w:r>
          </w:p>
        </w:tc>
        <w:tc>
          <w:tcPr>
            <w:tcW w:w="2800" w:type="dxa"/>
          </w:tcPr>
          <w:p w:rsidR="00F37C24" w:rsidRPr="00F6686E" w:rsidRDefault="00F37C24" w:rsidP="00433A9E">
            <w:pPr>
              <w:spacing w:after="0"/>
              <w:ind w:firstLine="0"/>
              <w:jc w:val="center"/>
              <w:rPr>
                <w:rFonts w:cs="Times New Roman"/>
              </w:rPr>
            </w:pPr>
            <w:r w:rsidRPr="004A0172">
              <w:rPr>
                <w:rFonts w:cs="Times New Roman"/>
              </w:rPr>
              <w:t>Монолитный каркас</w:t>
            </w:r>
            <w:r>
              <w:rPr>
                <w:rFonts w:cs="Times New Roman"/>
              </w:rPr>
              <w:t>; кирпич</w:t>
            </w:r>
          </w:p>
        </w:tc>
      </w:tr>
      <w:tr w:rsidR="00F37C24" w:rsidRPr="00F6686E" w:rsidTr="00433A9E">
        <w:trPr>
          <w:jc w:val="center"/>
        </w:trPr>
        <w:tc>
          <w:tcPr>
            <w:tcW w:w="2376" w:type="dxa"/>
            <w:vMerge/>
            <w:vAlign w:val="bottom"/>
          </w:tcPr>
          <w:p w:rsidR="00F37C24" w:rsidRPr="00F6686E" w:rsidRDefault="00F37C24" w:rsidP="00433A9E">
            <w:pPr>
              <w:spacing w:after="0"/>
              <w:ind w:firstLine="0"/>
              <w:rPr>
                <w:rFonts w:cs="Times New Roman"/>
              </w:rPr>
            </w:pP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ООО "ИНКО и К"</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40 326</w:t>
            </w:r>
          </w:p>
        </w:tc>
        <w:tc>
          <w:tcPr>
            <w:tcW w:w="2800" w:type="dxa"/>
          </w:tcPr>
          <w:p w:rsidR="00F37C24" w:rsidRPr="00F6686E" w:rsidRDefault="00F37C24" w:rsidP="00433A9E">
            <w:pPr>
              <w:spacing w:after="0"/>
              <w:ind w:firstLine="0"/>
              <w:jc w:val="center"/>
              <w:rPr>
                <w:rFonts w:cs="Times New Roman"/>
              </w:rPr>
            </w:pPr>
            <w:r>
              <w:rPr>
                <w:rFonts w:cs="Times New Roman"/>
              </w:rPr>
              <w:t>Кирпич</w:t>
            </w:r>
          </w:p>
        </w:tc>
      </w:tr>
      <w:tr w:rsidR="00F37C24" w:rsidRPr="00F6686E" w:rsidTr="00433A9E">
        <w:trPr>
          <w:jc w:val="center"/>
        </w:trPr>
        <w:tc>
          <w:tcPr>
            <w:tcW w:w="2376" w:type="dxa"/>
            <w:vMerge/>
            <w:vAlign w:val="bottom"/>
          </w:tcPr>
          <w:p w:rsidR="00F37C24" w:rsidRPr="00F6686E" w:rsidRDefault="00F37C24" w:rsidP="00433A9E">
            <w:pPr>
              <w:spacing w:after="0"/>
              <w:ind w:firstLine="0"/>
              <w:rPr>
                <w:rFonts w:cs="Times New Roman"/>
              </w:rPr>
            </w:pPr>
          </w:p>
        </w:tc>
        <w:tc>
          <w:tcPr>
            <w:tcW w:w="2552" w:type="dxa"/>
            <w:vAlign w:val="bottom"/>
          </w:tcPr>
          <w:p w:rsidR="00F37C24" w:rsidRPr="00F6686E" w:rsidRDefault="00F37C24" w:rsidP="00433A9E">
            <w:pPr>
              <w:spacing w:after="0"/>
              <w:ind w:firstLine="0"/>
              <w:rPr>
                <w:rFonts w:cs="Times New Roman"/>
              </w:rPr>
            </w:pPr>
            <w:r w:rsidRPr="00F6686E">
              <w:rPr>
                <w:rFonts w:cs="Times New Roman"/>
              </w:rPr>
              <w:t>ОАО "ТДСК"</w:t>
            </w:r>
          </w:p>
        </w:tc>
        <w:tc>
          <w:tcPr>
            <w:tcW w:w="1843" w:type="dxa"/>
            <w:vAlign w:val="bottom"/>
          </w:tcPr>
          <w:p w:rsidR="00F37C24" w:rsidRPr="00F6686E" w:rsidRDefault="00F37C24" w:rsidP="00433A9E">
            <w:pPr>
              <w:spacing w:after="0"/>
              <w:ind w:firstLine="0"/>
              <w:jc w:val="center"/>
              <w:rPr>
                <w:rFonts w:cs="Times New Roman"/>
              </w:rPr>
            </w:pPr>
            <w:r w:rsidRPr="00F6686E">
              <w:rPr>
                <w:rFonts w:cs="Times New Roman"/>
              </w:rPr>
              <w:t>60 894</w:t>
            </w:r>
          </w:p>
        </w:tc>
        <w:tc>
          <w:tcPr>
            <w:tcW w:w="2800" w:type="dxa"/>
          </w:tcPr>
          <w:p w:rsidR="00F37C24" w:rsidRPr="00F6686E" w:rsidRDefault="00F37C24" w:rsidP="00433A9E">
            <w:pPr>
              <w:spacing w:after="0"/>
              <w:ind w:firstLine="0"/>
              <w:jc w:val="center"/>
              <w:rPr>
                <w:rFonts w:cs="Times New Roman"/>
              </w:rPr>
            </w:pPr>
            <w:r>
              <w:rPr>
                <w:rFonts w:cs="Times New Roman"/>
              </w:rPr>
              <w:t>Кирпич</w:t>
            </w:r>
          </w:p>
        </w:tc>
      </w:tr>
    </w:tbl>
    <w:p w:rsidR="00F6686E" w:rsidRDefault="00F6686E" w:rsidP="00433A9E">
      <w:r>
        <w:t xml:space="preserve">Стоит отдельно отметить цены на нежилые помещения в цокольном этаже. Они были выставлены на продажу лишь группой компаний «ДОМ» в Тюменском </w:t>
      </w:r>
      <w:proofErr w:type="spellStart"/>
      <w:r>
        <w:t>мкр</w:t>
      </w:r>
      <w:proofErr w:type="spellEnd"/>
      <w:r>
        <w:t>., диапазон цен составил 14,9-15,4</w:t>
      </w:r>
      <w:r w:rsidRPr="0062020E">
        <w:t xml:space="preserve"> </w:t>
      </w:r>
      <w:r>
        <w:t xml:space="preserve">тыс. руб. за кв. м. Данные цены не учитывались в анализе. </w:t>
      </w:r>
    </w:p>
    <w:p w:rsidR="001C235C" w:rsidRDefault="001C235C">
      <w:pPr>
        <w:rPr>
          <w:rFonts w:cs="Times New Roman"/>
          <w:szCs w:val="24"/>
        </w:rPr>
      </w:pPr>
      <w:r>
        <w:rPr>
          <w:rFonts w:cs="Times New Roman"/>
          <w:szCs w:val="24"/>
        </w:rPr>
        <w:br w:type="page"/>
      </w:r>
    </w:p>
    <w:p w:rsidR="00E87043" w:rsidRDefault="00A761B9" w:rsidP="00E87043">
      <w:pPr>
        <w:pStyle w:val="1"/>
      </w:pPr>
      <w:bookmarkStart w:id="7" w:name="_Toc351452805"/>
      <w:r>
        <w:rPr>
          <w:shd w:val="clear" w:color="auto" w:fill="FFFFFF"/>
        </w:rPr>
        <w:lastRenderedPageBreak/>
        <w:t>3. </w:t>
      </w:r>
      <w:r w:rsidR="00E87043">
        <w:rPr>
          <w:shd w:val="clear" w:color="auto" w:fill="FFFFFF"/>
        </w:rPr>
        <w:t xml:space="preserve">Прогноз развития </w:t>
      </w:r>
      <w:r w:rsidR="00993D0A">
        <w:rPr>
          <w:shd w:val="clear" w:color="auto" w:fill="FFFFFF"/>
        </w:rPr>
        <w:t>социально-экономических показа</w:t>
      </w:r>
      <w:r w:rsidR="00E87043">
        <w:rPr>
          <w:shd w:val="clear" w:color="auto" w:fill="FFFFFF"/>
        </w:rPr>
        <w:t>телей и рынка недвижимости</w:t>
      </w:r>
      <w:bookmarkEnd w:id="7"/>
    </w:p>
    <w:p w:rsidR="000B471D" w:rsidRDefault="0060766A" w:rsidP="00E87043">
      <w:pPr>
        <w:pStyle w:val="2"/>
        <w:rPr>
          <w:shd w:val="clear" w:color="auto" w:fill="FFFFFF"/>
        </w:rPr>
      </w:pPr>
      <w:bookmarkStart w:id="8" w:name="_Toc351452806"/>
      <w:r>
        <w:rPr>
          <w:shd w:val="clear" w:color="auto" w:fill="FFFFFF"/>
        </w:rPr>
        <w:t>3.1</w:t>
      </w:r>
      <w:r w:rsidR="000B471D">
        <w:rPr>
          <w:shd w:val="clear" w:color="auto" w:fill="FFFFFF"/>
        </w:rPr>
        <w:t>. </w:t>
      </w:r>
      <w:r>
        <w:rPr>
          <w:shd w:val="clear" w:color="auto" w:fill="FFFFFF"/>
        </w:rPr>
        <w:t xml:space="preserve">Прогноз развития мировой и российской экономики, </w:t>
      </w:r>
      <w:r w:rsidR="00E87043">
        <w:rPr>
          <w:shd w:val="clear" w:color="auto" w:fill="FFFFFF"/>
        </w:rPr>
        <w:t>возможно</w:t>
      </w:r>
      <w:r>
        <w:rPr>
          <w:shd w:val="clear" w:color="auto" w:fill="FFFFFF"/>
        </w:rPr>
        <w:t>е</w:t>
      </w:r>
      <w:r w:rsidR="00E87043">
        <w:rPr>
          <w:shd w:val="clear" w:color="auto" w:fill="FFFFFF"/>
        </w:rPr>
        <w:t xml:space="preserve"> влияни</w:t>
      </w:r>
      <w:r>
        <w:rPr>
          <w:shd w:val="clear" w:color="auto" w:fill="FFFFFF"/>
        </w:rPr>
        <w:t>е кризисных явлений</w:t>
      </w:r>
      <w:bookmarkEnd w:id="8"/>
    </w:p>
    <w:p w:rsidR="00E87043" w:rsidRDefault="000B471D" w:rsidP="00E87043">
      <w:r>
        <w:t>Международный валютный фонд (МВФ)</w:t>
      </w:r>
      <w:r w:rsidR="00E87043" w:rsidRPr="008B4B84">
        <w:t xml:space="preserve"> </w:t>
      </w:r>
      <w:r>
        <w:t>опубликовал доклад о состоянии мировой экономики, в том числе о том, что</w:t>
      </w:r>
      <w:r w:rsidR="00E87043" w:rsidRPr="008B4B84">
        <w:t xml:space="preserve"> вероятность </w:t>
      </w:r>
      <w:r>
        <w:t xml:space="preserve">новой волны кризиса </w:t>
      </w:r>
      <w:r w:rsidR="00E87043" w:rsidRPr="008B4B84">
        <w:t>растет</w:t>
      </w:r>
      <w:r w:rsidR="00E87043">
        <w:t>.</w:t>
      </w:r>
      <w:r>
        <w:t xml:space="preserve"> МВФ снизил прогнозы роста </w:t>
      </w:r>
      <w:r w:rsidR="00E87043">
        <w:t>мировой экономики в 2012 г. с 3,5 до 3,3%, а в 2013 г. — с 3,9 до 3,6%.</w:t>
      </w:r>
    </w:p>
    <w:p w:rsidR="00E87043" w:rsidRDefault="00E87043" w:rsidP="00E87043">
      <w:r>
        <w:t>В отличие от 2009 г., когда МВФ призывал наращивать госрасходы, сейчас фонд не дает простого рецепта. Одним странам он советует сократить расходы, другим — начать сложные реформы, а третьим, в том числе ФРГ, — стремиться немного разогнать инфляцию для повышения конкурентоспособности еврозоны на внешних рынках.</w:t>
      </w:r>
    </w:p>
    <w:p w:rsidR="007B37C5" w:rsidRDefault="000B471D" w:rsidP="00E87043">
      <w:r>
        <w:t xml:space="preserve">Отличие возможного кризиса 2012-2013 гг. в том, что исходной экономикой на этот раз является не США, а Европа. МВФ повысили прогноз экономики США </w:t>
      </w:r>
      <w:r w:rsidR="00E87043">
        <w:t xml:space="preserve">на 0,1 п.п. до 2,2%; но фонд на столько же ухудшил его на 2013 г. — до 2,1%. По оценке фонда, ВВП еврозоны в 2012 г. сократится на 0,4% (ранее ожидалось -0,3%), а в 2013 г. вырастет на 0,2%, а не на 0,7%. Фонд рекомендует </w:t>
      </w:r>
      <w:r w:rsidR="007B37C5">
        <w:t>Европейскому центральному банку (ЕЦБ)</w:t>
      </w:r>
      <w:r w:rsidR="00E87043">
        <w:t xml:space="preserve"> удерживать процентные ставки на крайне низком уровне и, возможно, даже снизить их с нынешних 0,75%. </w:t>
      </w:r>
    </w:p>
    <w:p w:rsidR="00E87043" w:rsidRDefault="007B37C5" w:rsidP="00E87043">
      <w:r>
        <w:t>По мнению МВФ, д</w:t>
      </w:r>
      <w:r w:rsidR="00E87043">
        <w:t>олговые и бюджетные сложности в развитых экономиках усугубят проблемы в развивающихся, таких как страны БРИК</w:t>
      </w:r>
      <w:r>
        <w:t xml:space="preserve"> (куда входит и Россия)</w:t>
      </w:r>
      <w:r w:rsidR="00E87043">
        <w:t>, которые в последние годы разгоняли мировую экономику.</w:t>
      </w:r>
    </w:p>
    <w:p w:rsidR="00E87043" w:rsidRDefault="00E87043" w:rsidP="00E87043">
      <w:r>
        <w:t xml:space="preserve">Пересмотрен прогноз и нефтяных цен в 2012-2013 гг. (корзина </w:t>
      </w:r>
      <w:proofErr w:type="spellStart"/>
      <w:r>
        <w:t>Brent</w:t>
      </w:r>
      <w:proofErr w:type="spellEnd"/>
      <w:r>
        <w:t xml:space="preserve">, WTI, </w:t>
      </w:r>
      <w:proofErr w:type="spellStart"/>
      <w:r>
        <w:t>Dubai</w:t>
      </w:r>
      <w:proofErr w:type="spellEnd"/>
      <w:r>
        <w:t>) — рост на 2,1% до $106,18 за баррель и затем снижение на 1% (прежний прогноз — рост на 4,2 и 6,5%).</w:t>
      </w:r>
    </w:p>
    <w:p w:rsidR="00E87043" w:rsidRDefault="00E87043" w:rsidP="00E87043">
      <w:r>
        <w:t>Вероятность рецессии в США — 15%, а в Европе — больше 80%.</w:t>
      </w:r>
      <w:r w:rsidR="007B37C5">
        <w:t xml:space="preserve"> </w:t>
      </w:r>
      <w:r>
        <w:t xml:space="preserve">США </w:t>
      </w:r>
      <w:r w:rsidR="007B37C5">
        <w:t xml:space="preserve">вероятнее всего </w:t>
      </w:r>
      <w:r>
        <w:t xml:space="preserve">могут </w:t>
      </w:r>
      <w:r w:rsidR="007B37C5">
        <w:t>выйти</w:t>
      </w:r>
      <w:r>
        <w:t xml:space="preserve"> из стагнации, а Европа демонстрирует реальные признаки то</w:t>
      </w:r>
      <w:r w:rsidR="007B37C5">
        <w:t>го, что сможет избежать распада</w:t>
      </w:r>
      <w:r>
        <w:t xml:space="preserve">. Но сохраняются другие долгосрочные проблемы: потребители в развитых странах сокращают долги и расходы, а Китай переходит к модели роста, основанной на внутреннем потреблении, и такой переход может занять десятилетия, </w:t>
      </w:r>
      <w:r w:rsidR="007B37C5">
        <w:t>считают ведущие мировые экономисты</w:t>
      </w:r>
      <w:r>
        <w:t>.</w:t>
      </w:r>
    </w:p>
    <w:p w:rsidR="007B37C5" w:rsidRDefault="007B37C5" w:rsidP="007B37C5">
      <w:r>
        <w:t xml:space="preserve">«Глубокий, длительный спад и медленное, постоянно останавливающееся восстановление неизбежны после масштабного, системного финансового кризиса», — отмечает профессор экономики Гарвардского университета Кеннет </w:t>
      </w:r>
      <w:proofErr w:type="spellStart"/>
      <w:r>
        <w:t>Рогофф</w:t>
      </w:r>
      <w:proofErr w:type="spellEnd"/>
      <w:r>
        <w:t xml:space="preserve">. Нет </w:t>
      </w:r>
      <w:proofErr w:type="spellStart"/>
      <w:r>
        <w:t>безрискового</w:t>
      </w:r>
      <w:proofErr w:type="spellEnd"/>
      <w:r>
        <w:t xml:space="preserve"> способа ускорить восстановление, необходимы политически болезненные реформы, которые улучшили бы налоговую систему, сделали рынок труда более гибким, стимулировали предложение.</w:t>
      </w:r>
    </w:p>
    <w:p w:rsidR="00E87043" w:rsidRDefault="00E87043" w:rsidP="00E87043">
      <w:r>
        <w:t xml:space="preserve">Для России прогноз роста ВВП понижен на 0,3 и 0,1 п.п. до 3,7% в 2012 г. и 3,8% в 2013 г. Замедление динамики мировой торговли приведет к снижению </w:t>
      </w:r>
      <w:proofErr w:type="spellStart"/>
      <w:r>
        <w:t>профицита</w:t>
      </w:r>
      <w:proofErr w:type="spellEnd"/>
      <w:r>
        <w:t xml:space="preserve"> текущего счета страны с 5,2% ВВП в 2012 г. до 3,8% в 2013 г. У российского рынка есть внутренняя защита: главный драйвер роста — внутренний спрос, который поддерживается госрасходами и восстановлением кредитного рынка (в августе — на 43% в годовом исчислении), </w:t>
      </w:r>
      <w:r w:rsidR="007B37C5">
        <w:t>отмечают эксперты</w:t>
      </w:r>
      <w:r>
        <w:t>.</w:t>
      </w:r>
    </w:p>
    <w:p w:rsidR="00E87043" w:rsidRDefault="00E87043" w:rsidP="00E87043">
      <w:r w:rsidRPr="00A00BDD">
        <w:t xml:space="preserve">Российская экономика полгода росла темпами, опережающими ее возможности, и есть риски перегрева, дальше рост будет замедляться, предупреждает </w:t>
      </w:r>
      <w:r w:rsidR="007B37C5">
        <w:t xml:space="preserve">уже </w:t>
      </w:r>
      <w:r w:rsidRPr="00A00BDD">
        <w:t>Всемирный банк: без структурных реформ импульсов для развития не найти</w:t>
      </w:r>
      <w:r>
        <w:t>.</w:t>
      </w:r>
    </w:p>
    <w:p w:rsidR="00E87043" w:rsidRDefault="00E87043" w:rsidP="00E87043">
      <w:r>
        <w:t xml:space="preserve">В российской экономике после успехов первого полугодия сложились «настораживающие» тенденции, предупреждает Всемирный банк в докладе «Необходимость оздоровления экономики». ВВП за первые полгода вырос на 4,5%, немногим хуже, чем в 2011 г. (4,8%). Локомотивами были внутреннее потребление и дорогая нефть. При этом </w:t>
      </w:r>
      <w:proofErr w:type="spellStart"/>
      <w:r>
        <w:t>неторгуемые</w:t>
      </w:r>
      <w:proofErr w:type="spellEnd"/>
      <w:r>
        <w:t xml:space="preserve"> секторы (в первую очередь финансовый) росли почти втрое быстрее торгуемых (6,6% против 2,4%): в обрабатывающих и добывающих отраслях темпы роста в первом полугодии снижались по сравнению с 2011 г.</w:t>
      </w:r>
    </w:p>
    <w:p w:rsidR="00E87043" w:rsidRDefault="00E87043" w:rsidP="00E87043">
      <w:r>
        <w:lastRenderedPageBreak/>
        <w:t>Зарплаты растут с опережением роста производительности и реальных располагаемых доходов — разрыв достиг 7,4 и 8,5 п.п. соответственно. Они активно повышались в погоне за докризисным уровнем, объясняет Игорь Поляков из ЦМАКП, номинальный рост за полгода — 17%, сказались не только ожидания занятых, но и повышенный спрос на квалифицированные кадры.</w:t>
      </w:r>
    </w:p>
    <w:p w:rsidR="00E87043" w:rsidRDefault="00E87043" w:rsidP="00E87043">
      <w:r>
        <w:t xml:space="preserve">Высокие зарплаты или их стремительное повышение говорят о перегреве на рынке труда, предупреждает Всемирный банк, количество нанятых почти совпадает с количеством уволенных, в июле занятость достигла уровня в 72,3 </w:t>
      </w:r>
      <w:proofErr w:type="spellStart"/>
      <w:r>
        <w:t>млн</w:t>
      </w:r>
      <w:proofErr w:type="spellEnd"/>
      <w:r>
        <w:t xml:space="preserve"> человек, превысив пик августа 2008 г. (72,1 </w:t>
      </w:r>
      <w:proofErr w:type="spellStart"/>
      <w:r>
        <w:t>млн</w:t>
      </w:r>
      <w:proofErr w:type="spellEnd"/>
      <w:r>
        <w:t>).</w:t>
      </w:r>
    </w:p>
    <w:p w:rsidR="00E87043" w:rsidRDefault="00E87043" w:rsidP="00E87043">
      <w:r>
        <w:t>Такая ситуация на рынке труда, быстрый рост цен и кредитный бум — признаки перегрева в экономике, указывает Всемирный банк, рост ВВП в первом полугодии, по-видимому, превысил потенциально возможные темпы. Дальше экономика будет замедляться. Всемирный банк пересмотрел прогноз роста на 2012 г. с 3,8 до 3,5% (как у Минэкономразвития). Это самые низкие темпы за последние 15 лет за исключением кризисных 1998 и 2009 годов, напоминает Всемирный банк. Прогноз на 2013 г. — 3,6% (у Минэкономразвития — 3,7%), а если нефть подешевеет до $80 за баррель, рост замедлится до 1,5%. «Это отрезвляющий прогноз», — пишет Всемирный банк, тем более что цены на нефть близки к рекордным.</w:t>
      </w:r>
    </w:p>
    <w:p w:rsidR="00E87043" w:rsidRDefault="00E87043" w:rsidP="00E87043">
      <w:r>
        <w:t>Экономическая активность затухает: рост за I квартал к предыдущим трем месяцам упал до 0,6% после 1,6% в конце 2011 г., а во II квартале сократился до 0,1%. Спрос на российскую продукцию на внешних рынках слабеет из-за замедления мировой экономики: вчера Всемирный банк понизил прогноз роста Китая до 7,7 с 8,2%.</w:t>
      </w:r>
    </w:p>
    <w:p w:rsidR="00E87043" w:rsidRDefault="00E87043" w:rsidP="00E87043">
      <w:r>
        <w:t xml:space="preserve">При этом российские производственные мощности </w:t>
      </w:r>
      <w:r w:rsidR="007B37C5">
        <w:t xml:space="preserve">загружены почти как до кризиса, </w:t>
      </w:r>
      <w:r>
        <w:t xml:space="preserve">для роста нужны дополнительные инвестиции, но частный бизнес вряд ли будет активно вкладывать, ожидая улучшения конъюнктуры. Государство также вряд ли сможет существенно наращивать инвестиции: </w:t>
      </w:r>
      <w:proofErr w:type="spellStart"/>
      <w:r>
        <w:t>ненефтяной</w:t>
      </w:r>
      <w:proofErr w:type="spellEnd"/>
      <w:r>
        <w:t xml:space="preserve"> дефицит превышает 10% ВВП, лучше придерживаться консервативных планов по расходам и копить нефтяные сверхдоходы на случай новых кризисов. Не помогут экономике и российские потребители: растущая инфляция снижает покупательную способность, негативно сказывается и ослабление рубля. Есть и долгосрочные риски: старение населения, сокращение трудовых ресурсов, а также снижение добычи нефти.</w:t>
      </w:r>
    </w:p>
    <w:p w:rsidR="007B37C5" w:rsidRDefault="00E87043" w:rsidP="007B37C5">
      <w:r>
        <w:t>В таких условиях экономике трудно обрести новый импульс к росту, заключают эксперты Всемирного банка, России придется устранить «структурные препятствия» и повысить производительность труда. Стимулами для реформ будут участие России в ВТО и планы вступить в клуб развитых экономик ОЭСР. Нужно диверсифицировать экономику, сокращать присутствие государства, развивать транспортное сообщение внутри страны, улучшать инвестиционный климат как на федеральном уровне, так и на местах, рекомендует Всемирный банк, тогда и темпы роста смогут превысить 4%.</w:t>
      </w:r>
    </w:p>
    <w:p w:rsidR="009B30B5" w:rsidRDefault="009B30B5" w:rsidP="007B37C5">
      <w:r>
        <w:t xml:space="preserve">Таким образом, можно сделать вывод о том, что вероятность нового кризиса в мировой и российской экономике </w:t>
      </w:r>
      <w:r w:rsidR="000C0905">
        <w:t>есть, н</w:t>
      </w:r>
      <w:r>
        <w:t xml:space="preserve">о эксперты также отмечают, что </w:t>
      </w:r>
      <w:r w:rsidR="000C0905">
        <w:t>существуют реальные</w:t>
      </w:r>
      <w:r>
        <w:t xml:space="preserve"> предпосылки к минимизации влияния кризисных явлений (</w:t>
      </w:r>
      <w:r w:rsidR="008474FC">
        <w:t xml:space="preserve">накопленный недавний опыт работы в условиях кризиса, </w:t>
      </w:r>
      <w:r>
        <w:t>необходимость реформ, новый характер и истоки кризиса</w:t>
      </w:r>
      <w:r w:rsidR="000C0905">
        <w:t xml:space="preserve"> и т.п.</w:t>
      </w:r>
      <w:r>
        <w:t>). Т.е. наиболее вероятный сценарий развития не такой негативный, как это было в 2008-2009 гг.</w:t>
      </w:r>
    </w:p>
    <w:p w:rsidR="009B30B5" w:rsidRDefault="00407C25" w:rsidP="007B37C5">
      <w:r>
        <w:t xml:space="preserve">Если рассматривать влияние кризиса 2008-2009 гг. на </w:t>
      </w:r>
      <w:r w:rsidR="008474FC">
        <w:t xml:space="preserve">г. </w:t>
      </w:r>
      <w:r>
        <w:t>Тюмень, то следует отметить, что наш регион справился с негативной ситуацией гораздо лучше, чем РФ в целом и Москва в частности. Ниже представлен график индексов изменения заработной платы по годам, в том числе и в период кризиса.</w:t>
      </w:r>
    </w:p>
    <w:p w:rsidR="00407C25" w:rsidRDefault="00407C25" w:rsidP="007B37C5"/>
    <w:p w:rsidR="00407C25" w:rsidRDefault="00407C25" w:rsidP="00407C25">
      <w:pPr>
        <w:jc w:val="center"/>
      </w:pPr>
      <w:r w:rsidRPr="00407C25">
        <w:rPr>
          <w:noProof/>
          <w:lang w:eastAsia="ru-RU"/>
        </w:rPr>
        <w:lastRenderedPageBreak/>
        <w:drawing>
          <wp:inline distT="0" distB="0" distL="0" distR="0">
            <wp:extent cx="4838700" cy="259842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7C25" w:rsidRPr="00407C25" w:rsidRDefault="00407C25" w:rsidP="00407C25">
      <w:pPr>
        <w:jc w:val="center"/>
        <w:rPr>
          <w:i/>
        </w:rPr>
      </w:pPr>
      <w:r w:rsidRPr="00407C25">
        <w:rPr>
          <w:i/>
        </w:rPr>
        <w:t>Рис. Индексы рост заработной платы в РФ, г. Москве и г. Тюмени за 2008-2011 гг.</w:t>
      </w:r>
    </w:p>
    <w:p w:rsidR="009B30B5" w:rsidRDefault="009B30B5" w:rsidP="007B37C5"/>
    <w:p w:rsidR="00407C25" w:rsidRDefault="00407C25" w:rsidP="007B37C5">
      <w:r>
        <w:t xml:space="preserve">Из графика видно, что </w:t>
      </w:r>
      <w:r w:rsidR="00873C34">
        <w:t>в период восстановления экономики (2010-2011 гг.) рост заработной платы в Тюмени был выше, чем в России в целом, и гораздо выше, чем в Москве, т.е. экономика города после кризиса восстановилась быстрее, чем в столице.</w:t>
      </w:r>
    </w:p>
    <w:p w:rsidR="00C67651" w:rsidRDefault="00C67651" w:rsidP="007B37C5">
      <w:r>
        <w:t xml:space="preserve">Текущие социально-экономические показатели Тюмени также показывают уверенное восстановление после кризиса и благоприятную ситуацию и предпосылки для развития рынка жилищного строительства. </w:t>
      </w:r>
    </w:p>
    <w:p w:rsidR="00C67651" w:rsidRDefault="00C67651" w:rsidP="007B37C5"/>
    <w:p w:rsidR="00C67651" w:rsidRPr="00C67651" w:rsidRDefault="00C67651" w:rsidP="00C67651">
      <w:pPr>
        <w:jc w:val="center"/>
        <w:rPr>
          <w:b/>
        </w:rPr>
      </w:pPr>
      <w:r w:rsidRPr="00C67651">
        <w:rPr>
          <w:b/>
        </w:rPr>
        <w:t>Показатели социально-экономического развития в 2011 гг.</w:t>
      </w:r>
    </w:p>
    <w:tbl>
      <w:tblPr>
        <w:tblW w:w="5000" w:type="pct"/>
        <w:jc w:val="center"/>
        <w:tblLook w:val="04A0"/>
      </w:tblPr>
      <w:tblGrid>
        <w:gridCol w:w="2044"/>
        <w:gridCol w:w="2068"/>
        <w:gridCol w:w="1942"/>
        <w:gridCol w:w="1425"/>
        <w:gridCol w:w="2658"/>
      </w:tblGrid>
      <w:tr w:rsidR="009B30B5" w:rsidRPr="000B21E4" w:rsidTr="000B21E4">
        <w:trPr>
          <w:trHeight w:val="323"/>
          <w:jc w:val="center"/>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B5" w:rsidRPr="000B21E4" w:rsidRDefault="009B30B5" w:rsidP="00C67651">
            <w:pPr>
              <w:spacing w:after="0"/>
              <w:ind w:firstLine="0"/>
              <w:jc w:val="center"/>
              <w:rPr>
                <w:rFonts w:cs="Times New Roman"/>
                <w:b/>
                <w:sz w:val="18"/>
                <w:lang w:eastAsia="ru-RU"/>
              </w:rPr>
            </w:pP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9B30B5" w:rsidRPr="000B21E4" w:rsidRDefault="009B30B5" w:rsidP="00C67651">
            <w:pPr>
              <w:spacing w:after="0"/>
              <w:ind w:firstLine="0"/>
              <w:jc w:val="center"/>
              <w:rPr>
                <w:rFonts w:cs="Times New Roman"/>
                <w:b/>
                <w:bCs/>
                <w:sz w:val="18"/>
                <w:lang w:eastAsia="ru-RU"/>
              </w:rPr>
            </w:pPr>
            <w:r w:rsidRPr="000B21E4">
              <w:rPr>
                <w:rFonts w:cs="Times New Roman"/>
                <w:b/>
                <w:bCs/>
                <w:sz w:val="18"/>
                <w:lang w:eastAsia="ru-RU"/>
              </w:rPr>
              <w:t>Заработная плата, руб./мес.</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9B30B5" w:rsidRPr="000B21E4" w:rsidRDefault="009B30B5" w:rsidP="00C67651">
            <w:pPr>
              <w:spacing w:after="0"/>
              <w:ind w:firstLine="0"/>
              <w:jc w:val="center"/>
              <w:rPr>
                <w:rFonts w:cs="Times New Roman"/>
                <w:b/>
                <w:bCs/>
                <w:sz w:val="18"/>
                <w:lang w:eastAsia="ru-RU"/>
              </w:rPr>
            </w:pPr>
            <w:r w:rsidRPr="000B21E4">
              <w:rPr>
                <w:rFonts w:cs="Times New Roman"/>
                <w:b/>
                <w:bCs/>
                <w:sz w:val="18"/>
                <w:lang w:eastAsia="ru-RU"/>
              </w:rPr>
              <w:t>Оборот розничной торговли, руб./чел.</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9B30B5" w:rsidRPr="000B21E4" w:rsidRDefault="009B30B5" w:rsidP="00C67651">
            <w:pPr>
              <w:spacing w:after="0"/>
              <w:ind w:firstLine="0"/>
              <w:jc w:val="center"/>
              <w:rPr>
                <w:rFonts w:cs="Times New Roman"/>
                <w:b/>
                <w:bCs/>
                <w:sz w:val="18"/>
                <w:lang w:eastAsia="ru-RU"/>
              </w:rPr>
            </w:pPr>
            <w:r w:rsidRPr="000B21E4">
              <w:rPr>
                <w:rFonts w:cs="Times New Roman"/>
                <w:b/>
                <w:bCs/>
                <w:sz w:val="18"/>
                <w:lang w:eastAsia="ru-RU"/>
              </w:rPr>
              <w:t>Ввод жилья на 1 чел., кв. м</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9B30B5" w:rsidRPr="000B21E4" w:rsidRDefault="009B30B5" w:rsidP="00C67651">
            <w:pPr>
              <w:spacing w:after="0"/>
              <w:ind w:firstLine="0"/>
              <w:jc w:val="center"/>
              <w:rPr>
                <w:rFonts w:cs="Times New Roman"/>
                <w:b/>
                <w:bCs/>
                <w:sz w:val="18"/>
                <w:lang w:eastAsia="ru-RU"/>
              </w:rPr>
            </w:pPr>
            <w:r w:rsidRPr="000B21E4">
              <w:rPr>
                <w:rFonts w:cs="Times New Roman"/>
                <w:b/>
                <w:bCs/>
                <w:sz w:val="18"/>
                <w:lang w:eastAsia="ru-RU"/>
              </w:rPr>
              <w:t>Обеспеченность жильем на 1 чел., кв. м</w:t>
            </w:r>
          </w:p>
        </w:tc>
      </w:tr>
      <w:tr w:rsidR="009B30B5" w:rsidRPr="00C67651" w:rsidTr="000B21E4">
        <w:trPr>
          <w:trHeight w:val="204"/>
          <w:jc w:val="center"/>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РФ</w:t>
            </w:r>
          </w:p>
        </w:tc>
        <w:tc>
          <w:tcPr>
            <w:tcW w:w="1020"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22 866</w:t>
            </w:r>
          </w:p>
        </w:tc>
        <w:tc>
          <w:tcPr>
            <w:tcW w:w="958"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133 417</w:t>
            </w:r>
          </w:p>
        </w:tc>
        <w:tc>
          <w:tcPr>
            <w:tcW w:w="703"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0,4</w:t>
            </w:r>
          </w:p>
        </w:tc>
        <w:tc>
          <w:tcPr>
            <w:tcW w:w="1311"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22,6</w:t>
            </w:r>
          </w:p>
        </w:tc>
      </w:tr>
      <w:tr w:rsidR="009B30B5" w:rsidRPr="00C67651" w:rsidTr="000B21E4">
        <w:trPr>
          <w:trHeight w:val="204"/>
          <w:jc w:val="center"/>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Тюмень</w:t>
            </w:r>
          </w:p>
        </w:tc>
        <w:tc>
          <w:tcPr>
            <w:tcW w:w="1020"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31 774</w:t>
            </w:r>
          </w:p>
        </w:tc>
        <w:tc>
          <w:tcPr>
            <w:tcW w:w="958"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223 414</w:t>
            </w:r>
          </w:p>
        </w:tc>
        <w:tc>
          <w:tcPr>
            <w:tcW w:w="703"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1,2</w:t>
            </w:r>
          </w:p>
        </w:tc>
        <w:tc>
          <w:tcPr>
            <w:tcW w:w="1311"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27,0</w:t>
            </w:r>
          </w:p>
        </w:tc>
      </w:tr>
      <w:tr w:rsidR="009B30B5" w:rsidRPr="00C67651" w:rsidTr="000B21E4">
        <w:trPr>
          <w:trHeight w:val="204"/>
          <w:jc w:val="center"/>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юг ТО</w:t>
            </w:r>
          </w:p>
        </w:tc>
        <w:tc>
          <w:tcPr>
            <w:tcW w:w="1020"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24 221</w:t>
            </w:r>
          </w:p>
        </w:tc>
        <w:tc>
          <w:tcPr>
            <w:tcW w:w="958"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149 655</w:t>
            </w:r>
          </w:p>
        </w:tc>
        <w:tc>
          <w:tcPr>
            <w:tcW w:w="703"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0,9</w:t>
            </w:r>
          </w:p>
        </w:tc>
        <w:tc>
          <w:tcPr>
            <w:tcW w:w="1311"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23,6</w:t>
            </w:r>
          </w:p>
        </w:tc>
      </w:tr>
      <w:tr w:rsidR="009B30B5" w:rsidRPr="00C67651" w:rsidTr="000B21E4">
        <w:trPr>
          <w:trHeight w:val="204"/>
          <w:jc w:val="center"/>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Москва</w:t>
            </w:r>
          </w:p>
        </w:tc>
        <w:tc>
          <w:tcPr>
            <w:tcW w:w="1020"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46 626</w:t>
            </w:r>
          </w:p>
        </w:tc>
        <w:tc>
          <w:tcPr>
            <w:tcW w:w="958"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285 662</w:t>
            </w:r>
          </w:p>
        </w:tc>
        <w:tc>
          <w:tcPr>
            <w:tcW w:w="703"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0,2</w:t>
            </w:r>
          </w:p>
        </w:tc>
        <w:tc>
          <w:tcPr>
            <w:tcW w:w="1311"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18,7</w:t>
            </w:r>
          </w:p>
        </w:tc>
      </w:tr>
      <w:tr w:rsidR="009B30B5" w:rsidRPr="00C67651" w:rsidTr="000B21E4">
        <w:trPr>
          <w:trHeight w:val="58"/>
          <w:jc w:val="center"/>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Московская область</w:t>
            </w:r>
          </w:p>
        </w:tc>
        <w:tc>
          <w:tcPr>
            <w:tcW w:w="1020"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28 751</w:t>
            </w:r>
          </w:p>
        </w:tc>
        <w:tc>
          <w:tcPr>
            <w:tcW w:w="958"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164 922</w:t>
            </w:r>
          </w:p>
        </w:tc>
        <w:tc>
          <w:tcPr>
            <w:tcW w:w="703"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1,1</w:t>
            </w:r>
          </w:p>
        </w:tc>
        <w:tc>
          <w:tcPr>
            <w:tcW w:w="1311" w:type="pct"/>
            <w:tcBorders>
              <w:top w:val="nil"/>
              <w:left w:val="nil"/>
              <w:bottom w:val="single" w:sz="4" w:space="0" w:color="auto"/>
              <w:right w:val="single" w:sz="4" w:space="0" w:color="auto"/>
            </w:tcBorders>
            <w:shd w:val="clear" w:color="auto" w:fill="auto"/>
            <w:vAlign w:val="bottom"/>
            <w:hideMark/>
          </w:tcPr>
          <w:p w:rsidR="009B30B5" w:rsidRPr="00C67651" w:rsidRDefault="009B30B5" w:rsidP="009B30B5">
            <w:pPr>
              <w:spacing w:after="0"/>
              <w:ind w:firstLine="0"/>
              <w:rPr>
                <w:rFonts w:cs="Times New Roman"/>
                <w:sz w:val="20"/>
                <w:lang w:eastAsia="ru-RU"/>
              </w:rPr>
            </w:pPr>
            <w:r w:rsidRPr="00C67651">
              <w:rPr>
                <w:rFonts w:cs="Times New Roman"/>
                <w:sz w:val="20"/>
                <w:lang w:eastAsia="ru-RU"/>
              </w:rPr>
              <w:t>28,8</w:t>
            </w:r>
          </w:p>
        </w:tc>
      </w:tr>
    </w:tbl>
    <w:p w:rsidR="00E87043" w:rsidRDefault="00E87043" w:rsidP="00E87043"/>
    <w:p w:rsidR="00216E26" w:rsidRDefault="00216E26" w:rsidP="00E87043">
      <w:r>
        <w:t>Кроме того, в Москве в разгар кризиса цены на недвижимость "просели" на 20-25%, в т</w:t>
      </w:r>
      <w:r w:rsidR="0025054D">
        <w:t>о время как в Тюмени всего на 10% для первичного рынка, и на 1</w:t>
      </w:r>
      <w:r>
        <w:t>7%</w:t>
      </w:r>
      <w:r w:rsidR="0025054D">
        <w:t xml:space="preserve"> для вторичного</w:t>
      </w:r>
      <w:r>
        <w:t>.</w:t>
      </w:r>
    </w:p>
    <w:p w:rsidR="008474FC" w:rsidRDefault="008474FC" w:rsidP="00E87043"/>
    <w:p w:rsidR="008474FC" w:rsidRDefault="008474FC" w:rsidP="008474FC">
      <w:pPr>
        <w:ind w:firstLine="0"/>
        <w:jc w:val="center"/>
      </w:pPr>
      <w:r w:rsidRPr="008474FC">
        <w:rPr>
          <w:noProof/>
          <w:lang w:eastAsia="ru-RU"/>
        </w:rPr>
        <w:drawing>
          <wp:inline distT="0" distB="0" distL="0" distR="0">
            <wp:extent cx="6461760" cy="219456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74FC" w:rsidRDefault="008474FC" w:rsidP="008474FC">
      <w:pPr>
        <w:jc w:val="center"/>
        <w:rPr>
          <w:i/>
        </w:rPr>
      </w:pPr>
      <w:r w:rsidRPr="008474FC">
        <w:rPr>
          <w:i/>
        </w:rPr>
        <w:t>Рис. Динамика цен на рынке новостроек г. Тюмени (2005 - 2012 гг.)</w:t>
      </w:r>
    </w:p>
    <w:p w:rsidR="00A761B9" w:rsidRDefault="00A761B9" w:rsidP="008474FC">
      <w:pPr>
        <w:jc w:val="center"/>
        <w:rPr>
          <w:i/>
        </w:rPr>
      </w:pPr>
    </w:p>
    <w:p w:rsidR="00A761B9" w:rsidRPr="008474FC" w:rsidRDefault="00A761B9" w:rsidP="00A761B9">
      <w:r>
        <w:lastRenderedPageBreak/>
        <w:t xml:space="preserve">Что касается возможности повторения кризисных явлений на более долгосрочную перспективу (до 2019 гг.), то вероятность цикличного развития событий не исключена. </w:t>
      </w:r>
      <w:r w:rsidR="007330A0">
        <w:t>Как отмечают ведущие экономисты и эксперты в области экономики и финансов, для устойчивого восстановления и развития экономики требуется решение фундаментальных проблем в области финансовых рынков, а также масштабные и решительные политические реформы.</w:t>
      </w:r>
    </w:p>
    <w:p w:rsidR="00194E3A" w:rsidRDefault="00194E3A">
      <w:pPr>
        <w:spacing w:after="200" w:line="276" w:lineRule="auto"/>
        <w:ind w:firstLine="0"/>
        <w:jc w:val="left"/>
      </w:pPr>
      <w:r>
        <w:br w:type="page"/>
      </w:r>
    </w:p>
    <w:p w:rsidR="00E87043" w:rsidRDefault="00622A83" w:rsidP="001F41C0">
      <w:pPr>
        <w:pStyle w:val="1"/>
        <w:rPr>
          <w:shd w:val="clear" w:color="auto" w:fill="FFFFFF"/>
        </w:rPr>
      </w:pPr>
      <w:bookmarkStart w:id="9" w:name="_Toc351452807"/>
      <w:r>
        <w:rPr>
          <w:shd w:val="clear" w:color="auto" w:fill="FFFFFF"/>
        </w:rPr>
        <w:lastRenderedPageBreak/>
        <w:t>4</w:t>
      </w:r>
      <w:r w:rsidR="001F41C0">
        <w:rPr>
          <w:shd w:val="clear" w:color="auto" w:fill="FFFFFF"/>
        </w:rPr>
        <w:t>.</w:t>
      </w:r>
      <w:r w:rsidR="001B79EB">
        <w:rPr>
          <w:shd w:val="clear" w:color="auto" w:fill="FFFFFF"/>
        </w:rPr>
        <w:t> </w:t>
      </w:r>
      <w:r w:rsidR="00925230">
        <w:rPr>
          <w:shd w:val="clear" w:color="auto" w:fill="FFFFFF"/>
        </w:rPr>
        <w:t>Краткая х</w:t>
      </w:r>
      <w:r w:rsidR="00E87043">
        <w:rPr>
          <w:shd w:val="clear" w:color="auto" w:fill="FFFFFF"/>
        </w:rPr>
        <w:t>арактеристика спроса на рынке жилья</w:t>
      </w:r>
      <w:bookmarkEnd w:id="9"/>
    </w:p>
    <w:p w:rsidR="00523953" w:rsidRDefault="00523953" w:rsidP="00523953">
      <w:pPr>
        <w:rPr>
          <w:szCs w:val="20"/>
        </w:rPr>
      </w:pPr>
      <w:r>
        <w:rPr>
          <w:szCs w:val="20"/>
        </w:rPr>
        <w:t>Как было сказано выше, обеспеченность жильем в России и в г. Тюмени в частности отстает от мировых показателей. По данным Минэкономразвития в улучшении жилищных условий нуждается 60% жителей РФ.</w:t>
      </w:r>
    </w:p>
    <w:p w:rsidR="00875762" w:rsidRDefault="00875762" w:rsidP="00BA0F6E">
      <w:pPr>
        <w:rPr>
          <w:szCs w:val="20"/>
        </w:rPr>
      </w:pPr>
      <w:r>
        <w:rPr>
          <w:szCs w:val="20"/>
        </w:rPr>
        <w:t>В периоды кризисных явлений в экономике происходит стабилизации или отрицательная корректировка цен, снижение объемов строительства на фоне сокращени</w:t>
      </w:r>
      <w:r w:rsidR="00553C2D">
        <w:rPr>
          <w:szCs w:val="20"/>
        </w:rPr>
        <w:t>я</w:t>
      </w:r>
      <w:r>
        <w:rPr>
          <w:szCs w:val="20"/>
        </w:rPr>
        <w:t xml:space="preserve"> объемов продаж, т.е. спроса. Безусловно, причина сокращения спроса кроется в снижении доходов населения и возможностей для кредитования на фоне роста ставок по кредитам. Но, на наш взгляд, все негативные последствия кризиса лишь формируют отложенный спрос на рынке жилья.</w:t>
      </w:r>
    </w:p>
    <w:p w:rsidR="00523953" w:rsidRDefault="00523953" w:rsidP="00BA0F6E">
      <w:pPr>
        <w:rPr>
          <w:szCs w:val="20"/>
        </w:rPr>
      </w:pPr>
      <w:r>
        <w:rPr>
          <w:szCs w:val="20"/>
        </w:rPr>
        <w:t>В период 2008-2009 гг. на рынке сформировался спрос на квартиры средних площадей: 1-комнатные квартиры около 35 кв. м, двухкомнатные площадью около 55 кв. м и трехкомнатные до 70 кв. м. По мере улучшения экономического положения стали возрастать и запросы покупателей, но средний показатель остается неизменным.</w:t>
      </w:r>
    </w:p>
    <w:p w:rsidR="00C527EF" w:rsidRDefault="00C527EF" w:rsidP="00BA0F6E">
      <w:pPr>
        <w:rPr>
          <w:szCs w:val="20"/>
        </w:rPr>
      </w:pPr>
      <w:r>
        <w:rPr>
          <w:szCs w:val="20"/>
        </w:rPr>
        <w:t>Что касается спроса на квартиры в зависимости от количества комнат, то для массового сегмента остается справедливым то, что большая доля спроса сконцентрирована на 1-комнатные квартиры, в меньшей степени на двухкомнатные и трехкомнатные. Т.е. наиболее ликвидными и востребованными остаются "</w:t>
      </w:r>
      <w:proofErr w:type="spellStart"/>
      <w:r>
        <w:rPr>
          <w:szCs w:val="20"/>
        </w:rPr>
        <w:t>однушки</w:t>
      </w:r>
      <w:proofErr w:type="spellEnd"/>
      <w:r>
        <w:rPr>
          <w:szCs w:val="20"/>
        </w:rPr>
        <w:t>".</w:t>
      </w:r>
    </w:p>
    <w:p w:rsidR="00C868AF" w:rsidRDefault="00C868AF" w:rsidP="00BA0F6E">
      <w:pPr>
        <w:rPr>
          <w:szCs w:val="20"/>
        </w:rPr>
      </w:pPr>
      <w:r>
        <w:rPr>
          <w:szCs w:val="20"/>
        </w:rPr>
        <w:t>Цели приобретения жилья в условиях нестабильной экономической ситуации претерпели некоторые изменения. Если ранее в 2004-2008 гг. пользовалась популярностью покупка квартир с целью инвестирования, то в настоящее время преобладает приобретение жилья в качестве первой квартиры или для улучшения жилищных условий.</w:t>
      </w:r>
    </w:p>
    <w:p w:rsidR="00C868AF" w:rsidRDefault="00C868AF" w:rsidP="00BA0F6E">
      <w:pPr>
        <w:rPr>
          <w:szCs w:val="20"/>
        </w:rPr>
      </w:pPr>
      <w:r>
        <w:rPr>
          <w:szCs w:val="20"/>
        </w:rPr>
        <w:t>По данным опросов различных маркетинговых агентств в условиях ненасыщенного рынка все-таки в первую очередь покупатели ориентируются на цену квартиры и сроки сдачи жилья, а также на уровень доверия к застройщику.</w:t>
      </w:r>
      <w:r w:rsidR="00925230">
        <w:rPr>
          <w:szCs w:val="20"/>
        </w:rPr>
        <w:t xml:space="preserve"> Таким образом, особой зависимости спроса по материалу строительства не наблюдается.</w:t>
      </w:r>
    </w:p>
    <w:p w:rsidR="005C7C13" w:rsidRPr="00622A83" w:rsidRDefault="005C7C13" w:rsidP="00F34FFB">
      <w:pPr>
        <w:rPr>
          <w:szCs w:val="20"/>
        </w:rPr>
      </w:pPr>
      <w:r>
        <w:rPr>
          <w:szCs w:val="20"/>
        </w:rPr>
        <w:t>На второй план выходят потребительские качества жилья. Это качество строительства, инфраструктура и благоустройство. В период активного развития рынка жилья (2000-2006 гг.) потребители практически не обращали внимание на качественные параметры будущей квартиры, жилого дома или района расположения. В условиях неконтролируемого роста цен покупали все, что предлагал рынок. В настоящее время можно утверждать, что уровень конкуренции на рынке возрос, клиенты стали обращать больше внимания на качество будущей жизни и выбирать жилье не только по цене и сроку сдачи, но и по другим параметрам.</w:t>
      </w:r>
    </w:p>
    <w:sectPr w:rsidR="005C7C13" w:rsidRPr="00622A83" w:rsidSect="001F41C0">
      <w:headerReference w:type="default" r:id="rId17"/>
      <w:footerReference w:type="default" r:id="rId18"/>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92" w:rsidRDefault="00141192" w:rsidP="00091493">
      <w:pPr>
        <w:spacing w:after="0"/>
      </w:pPr>
      <w:r>
        <w:separator/>
      </w:r>
    </w:p>
  </w:endnote>
  <w:endnote w:type="continuationSeparator" w:id="0">
    <w:p w:rsidR="00141192" w:rsidRDefault="00141192" w:rsidP="000914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598"/>
      <w:docPartObj>
        <w:docPartGallery w:val="Page Numbers (Bottom of Page)"/>
        <w:docPartUnique/>
      </w:docPartObj>
    </w:sdtPr>
    <w:sdtContent>
      <w:p w:rsidR="00B82226" w:rsidRDefault="009D4B3A" w:rsidP="001F41C0">
        <w:pPr>
          <w:pStyle w:val="af2"/>
          <w:jc w:val="center"/>
        </w:pPr>
        <w:fldSimple w:instr=" PAGE   \* MERGEFORMAT ">
          <w:r w:rsidR="00993D0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92" w:rsidRDefault="00141192" w:rsidP="00091493">
      <w:pPr>
        <w:spacing w:after="0"/>
      </w:pPr>
      <w:r>
        <w:separator/>
      </w:r>
    </w:p>
  </w:footnote>
  <w:footnote w:type="continuationSeparator" w:id="0">
    <w:p w:rsidR="00141192" w:rsidRDefault="00141192" w:rsidP="00091493">
      <w:pPr>
        <w:spacing w:after="0"/>
      </w:pPr>
      <w:r>
        <w:continuationSeparator/>
      </w:r>
    </w:p>
  </w:footnote>
  <w:footnote w:id="1">
    <w:p w:rsidR="00B82226" w:rsidRDefault="00B82226">
      <w:pPr>
        <w:pStyle w:val="a5"/>
      </w:pPr>
      <w:r>
        <w:rPr>
          <w:rStyle w:val="a7"/>
        </w:rPr>
        <w:footnoteRef/>
      </w:r>
      <w:r>
        <w:t xml:space="preserve"> Включает в себя Восточный, Восточный-2 и Восточный-3 микрорайоны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000000"/>
        <w:insideH w:val="single" w:sz="12" w:space="0" w:color="000000"/>
        <w:insideV w:val="single" w:sz="12" w:space="0" w:color="000000"/>
      </w:tblBorders>
      <w:tblLook w:val="01E0"/>
    </w:tblPr>
    <w:tblGrid>
      <w:gridCol w:w="10137"/>
    </w:tblGrid>
    <w:tr w:rsidR="00B82226" w:rsidRPr="00363391" w:rsidTr="00B82226">
      <w:tc>
        <w:tcPr>
          <w:tcW w:w="10137" w:type="dxa"/>
        </w:tcPr>
        <w:p w:rsidR="00B82226" w:rsidRPr="00363391" w:rsidRDefault="00B82226" w:rsidP="00B82226">
          <w:pPr>
            <w:ind w:firstLine="0"/>
            <w:rPr>
              <w:sz w:val="20"/>
              <w:szCs w:val="20"/>
            </w:rPr>
          </w:pPr>
          <w:r>
            <w:rPr>
              <w:sz w:val="20"/>
              <w:szCs w:val="20"/>
            </w:rPr>
            <w:t>Отчет по исследованию рынка жилой недвижимости г. Тюмени (сентябрь 2012 г.)</w:t>
          </w:r>
        </w:p>
      </w:tc>
    </w:tr>
  </w:tbl>
  <w:p w:rsidR="00B82226" w:rsidRPr="004C44F2" w:rsidRDefault="00B82226" w:rsidP="001F41C0">
    <w:pPr>
      <w:ind w:firstLine="0"/>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878"/>
    <w:multiLevelType w:val="hybridMultilevel"/>
    <w:tmpl w:val="DCB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B73CD3"/>
    <w:multiLevelType w:val="multilevel"/>
    <w:tmpl w:val="628C028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4A1055F"/>
    <w:multiLevelType w:val="multilevel"/>
    <w:tmpl w:val="7980B8D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291F4A"/>
    <w:rsid w:val="00016E18"/>
    <w:rsid w:val="00020770"/>
    <w:rsid w:val="00037E44"/>
    <w:rsid w:val="00086B5C"/>
    <w:rsid w:val="00091493"/>
    <w:rsid w:val="00092D2A"/>
    <w:rsid w:val="000A2DBC"/>
    <w:rsid w:val="000A42F7"/>
    <w:rsid w:val="000A4E1D"/>
    <w:rsid w:val="000B21E4"/>
    <w:rsid w:val="000B471D"/>
    <w:rsid w:val="000C0905"/>
    <w:rsid w:val="000F06A7"/>
    <w:rsid w:val="000F78B7"/>
    <w:rsid w:val="00105038"/>
    <w:rsid w:val="00115554"/>
    <w:rsid w:val="001165F0"/>
    <w:rsid w:val="00141192"/>
    <w:rsid w:val="0014374E"/>
    <w:rsid w:val="00144B4D"/>
    <w:rsid w:val="00151C7C"/>
    <w:rsid w:val="0016018B"/>
    <w:rsid w:val="00194E3A"/>
    <w:rsid w:val="001B3739"/>
    <w:rsid w:val="001B6FAE"/>
    <w:rsid w:val="001B79EB"/>
    <w:rsid w:val="001C235C"/>
    <w:rsid w:val="001F2783"/>
    <w:rsid w:val="001F41C0"/>
    <w:rsid w:val="001F5483"/>
    <w:rsid w:val="002154AA"/>
    <w:rsid w:val="00216E26"/>
    <w:rsid w:val="00225B7A"/>
    <w:rsid w:val="00240735"/>
    <w:rsid w:val="0025054D"/>
    <w:rsid w:val="00254774"/>
    <w:rsid w:val="00255164"/>
    <w:rsid w:val="0026659B"/>
    <w:rsid w:val="00282293"/>
    <w:rsid w:val="00291F4A"/>
    <w:rsid w:val="002A68A6"/>
    <w:rsid w:val="002D1EED"/>
    <w:rsid w:val="002E2AC3"/>
    <w:rsid w:val="00306045"/>
    <w:rsid w:val="00306BA5"/>
    <w:rsid w:val="00310640"/>
    <w:rsid w:val="00332473"/>
    <w:rsid w:val="0034381E"/>
    <w:rsid w:val="00386703"/>
    <w:rsid w:val="003A4AB3"/>
    <w:rsid w:val="003E2CEB"/>
    <w:rsid w:val="003E3D9C"/>
    <w:rsid w:val="003F6273"/>
    <w:rsid w:val="0040279F"/>
    <w:rsid w:val="00407C25"/>
    <w:rsid w:val="00416631"/>
    <w:rsid w:val="004174EC"/>
    <w:rsid w:val="004206C8"/>
    <w:rsid w:val="00433A9E"/>
    <w:rsid w:val="00435AE0"/>
    <w:rsid w:val="00447FEF"/>
    <w:rsid w:val="0045386E"/>
    <w:rsid w:val="00453DEE"/>
    <w:rsid w:val="00497B27"/>
    <w:rsid w:val="004A0172"/>
    <w:rsid w:val="004D350E"/>
    <w:rsid w:val="005125D4"/>
    <w:rsid w:val="00514D6E"/>
    <w:rsid w:val="005224B5"/>
    <w:rsid w:val="00523953"/>
    <w:rsid w:val="0054472B"/>
    <w:rsid w:val="005513D7"/>
    <w:rsid w:val="00552080"/>
    <w:rsid w:val="005524A0"/>
    <w:rsid w:val="00553C2D"/>
    <w:rsid w:val="00574540"/>
    <w:rsid w:val="005A6032"/>
    <w:rsid w:val="005B22FB"/>
    <w:rsid w:val="005B5D86"/>
    <w:rsid w:val="005C7C13"/>
    <w:rsid w:val="005E43BA"/>
    <w:rsid w:val="005E5A01"/>
    <w:rsid w:val="005F6A8A"/>
    <w:rsid w:val="0060040D"/>
    <w:rsid w:val="0060766A"/>
    <w:rsid w:val="0062020E"/>
    <w:rsid w:val="00622A83"/>
    <w:rsid w:val="00656161"/>
    <w:rsid w:val="00656885"/>
    <w:rsid w:val="0066206F"/>
    <w:rsid w:val="00691ECB"/>
    <w:rsid w:val="00693C69"/>
    <w:rsid w:val="006A0570"/>
    <w:rsid w:val="006A6B35"/>
    <w:rsid w:val="006C6A36"/>
    <w:rsid w:val="006C7309"/>
    <w:rsid w:val="006D2A25"/>
    <w:rsid w:val="006D4456"/>
    <w:rsid w:val="006E4D85"/>
    <w:rsid w:val="00701507"/>
    <w:rsid w:val="0070406E"/>
    <w:rsid w:val="00705785"/>
    <w:rsid w:val="0071028A"/>
    <w:rsid w:val="0071031F"/>
    <w:rsid w:val="007204B9"/>
    <w:rsid w:val="00730A2D"/>
    <w:rsid w:val="00731ECB"/>
    <w:rsid w:val="007330A0"/>
    <w:rsid w:val="00744DC1"/>
    <w:rsid w:val="00776683"/>
    <w:rsid w:val="007B37C5"/>
    <w:rsid w:val="007D375F"/>
    <w:rsid w:val="007D5A1D"/>
    <w:rsid w:val="007E0B40"/>
    <w:rsid w:val="007F4CB3"/>
    <w:rsid w:val="008067C5"/>
    <w:rsid w:val="00820A6B"/>
    <w:rsid w:val="00841DA4"/>
    <w:rsid w:val="008474FC"/>
    <w:rsid w:val="00854112"/>
    <w:rsid w:val="00873C34"/>
    <w:rsid w:val="00875762"/>
    <w:rsid w:val="008B267C"/>
    <w:rsid w:val="008B74A1"/>
    <w:rsid w:val="008F6677"/>
    <w:rsid w:val="0090061B"/>
    <w:rsid w:val="0090479F"/>
    <w:rsid w:val="009053B3"/>
    <w:rsid w:val="0091660E"/>
    <w:rsid w:val="00925230"/>
    <w:rsid w:val="009265E9"/>
    <w:rsid w:val="00932226"/>
    <w:rsid w:val="0093264D"/>
    <w:rsid w:val="00945282"/>
    <w:rsid w:val="00957633"/>
    <w:rsid w:val="00963AD8"/>
    <w:rsid w:val="00975501"/>
    <w:rsid w:val="009768B2"/>
    <w:rsid w:val="00977CC2"/>
    <w:rsid w:val="0098415A"/>
    <w:rsid w:val="0098747C"/>
    <w:rsid w:val="00993D0A"/>
    <w:rsid w:val="009A1279"/>
    <w:rsid w:val="009A1BED"/>
    <w:rsid w:val="009B30B5"/>
    <w:rsid w:val="009D09ED"/>
    <w:rsid w:val="009D4B3A"/>
    <w:rsid w:val="009E1C1D"/>
    <w:rsid w:val="009F2798"/>
    <w:rsid w:val="00A02ECB"/>
    <w:rsid w:val="00A1372D"/>
    <w:rsid w:val="00A17D7F"/>
    <w:rsid w:val="00A20C6E"/>
    <w:rsid w:val="00A40A3C"/>
    <w:rsid w:val="00A4176E"/>
    <w:rsid w:val="00A42C1E"/>
    <w:rsid w:val="00A5109D"/>
    <w:rsid w:val="00A603A6"/>
    <w:rsid w:val="00A67C85"/>
    <w:rsid w:val="00A738C0"/>
    <w:rsid w:val="00A761B9"/>
    <w:rsid w:val="00A85454"/>
    <w:rsid w:val="00A91073"/>
    <w:rsid w:val="00AA2F80"/>
    <w:rsid w:val="00AA73B3"/>
    <w:rsid w:val="00AC0DC9"/>
    <w:rsid w:val="00AC7A61"/>
    <w:rsid w:val="00AF3526"/>
    <w:rsid w:val="00AF3879"/>
    <w:rsid w:val="00B02854"/>
    <w:rsid w:val="00B2035F"/>
    <w:rsid w:val="00B20D52"/>
    <w:rsid w:val="00B25FBE"/>
    <w:rsid w:val="00B31F11"/>
    <w:rsid w:val="00B3389D"/>
    <w:rsid w:val="00B700D2"/>
    <w:rsid w:val="00B82226"/>
    <w:rsid w:val="00B9218B"/>
    <w:rsid w:val="00BA0F6D"/>
    <w:rsid w:val="00BA0F6E"/>
    <w:rsid w:val="00BC59AC"/>
    <w:rsid w:val="00BD0A58"/>
    <w:rsid w:val="00BD35C3"/>
    <w:rsid w:val="00BF6380"/>
    <w:rsid w:val="00C009CD"/>
    <w:rsid w:val="00C023EB"/>
    <w:rsid w:val="00C02D35"/>
    <w:rsid w:val="00C03339"/>
    <w:rsid w:val="00C064C3"/>
    <w:rsid w:val="00C14F6A"/>
    <w:rsid w:val="00C176CA"/>
    <w:rsid w:val="00C206A6"/>
    <w:rsid w:val="00C249DC"/>
    <w:rsid w:val="00C429FA"/>
    <w:rsid w:val="00C527EF"/>
    <w:rsid w:val="00C53987"/>
    <w:rsid w:val="00C604C5"/>
    <w:rsid w:val="00C6314D"/>
    <w:rsid w:val="00C67651"/>
    <w:rsid w:val="00C71FCD"/>
    <w:rsid w:val="00C825C7"/>
    <w:rsid w:val="00C868AF"/>
    <w:rsid w:val="00C977D7"/>
    <w:rsid w:val="00CA68C1"/>
    <w:rsid w:val="00CB1CC9"/>
    <w:rsid w:val="00CE052A"/>
    <w:rsid w:val="00CE2AA6"/>
    <w:rsid w:val="00D06F1B"/>
    <w:rsid w:val="00D11A27"/>
    <w:rsid w:val="00D204C6"/>
    <w:rsid w:val="00D449DC"/>
    <w:rsid w:val="00D836BC"/>
    <w:rsid w:val="00D92EB1"/>
    <w:rsid w:val="00DA6084"/>
    <w:rsid w:val="00DC5917"/>
    <w:rsid w:val="00DD25E3"/>
    <w:rsid w:val="00DE1BA4"/>
    <w:rsid w:val="00DE6B2D"/>
    <w:rsid w:val="00DE7FF2"/>
    <w:rsid w:val="00DF1CCF"/>
    <w:rsid w:val="00E023D1"/>
    <w:rsid w:val="00E161D0"/>
    <w:rsid w:val="00E2654A"/>
    <w:rsid w:val="00E32A66"/>
    <w:rsid w:val="00E63114"/>
    <w:rsid w:val="00E67835"/>
    <w:rsid w:val="00E8032F"/>
    <w:rsid w:val="00E81EC4"/>
    <w:rsid w:val="00E84B71"/>
    <w:rsid w:val="00E87043"/>
    <w:rsid w:val="00E9773C"/>
    <w:rsid w:val="00EC2574"/>
    <w:rsid w:val="00ED7A66"/>
    <w:rsid w:val="00EE480A"/>
    <w:rsid w:val="00F0495C"/>
    <w:rsid w:val="00F135BA"/>
    <w:rsid w:val="00F34FFB"/>
    <w:rsid w:val="00F37C24"/>
    <w:rsid w:val="00F37C4E"/>
    <w:rsid w:val="00F41066"/>
    <w:rsid w:val="00F60125"/>
    <w:rsid w:val="00F6686E"/>
    <w:rsid w:val="00F81716"/>
    <w:rsid w:val="00FA4C40"/>
    <w:rsid w:val="00FC0A9E"/>
    <w:rsid w:val="00FC3141"/>
    <w:rsid w:val="00FF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43"/>
    <w:pPr>
      <w:spacing w:after="60" w:line="240" w:lineRule="auto"/>
      <w:ind w:firstLine="567"/>
      <w:jc w:val="both"/>
    </w:pPr>
    <w:rPr>
      <w:rFonts w:ascii="Times New Roman" w:hAnsi="Times New Roman"/>
      <w:sz w:val="24"/>
    </w:rPr>
  </w:style>
  <w:style w:type="paragraph" w:styleId="1">
    <w:name w:val="heading 1"/>
    <w:basedOn w:val="a"/>
    <w:next w:val="a"/>
    <w:link w:val="10"/>
    <w:uiPriority w:val="9"/>
    <w:qFormat/>
    <w:rsid w:val="00CE052A"/>
    <w:pPr>
      <w:keepNext/>
      <w:keepLines/>
      <w:spacing w:after="120"/>
      <w:contextualSpacing/>
      <w:outlineLvl w:val="0"/>
    </w:pPr>
    <w:rPr>
      <w:rFonts w:eastAsiaTheme="majorEastAsia" w:cstheme="majorBidi"/>
      <w:b/>
      <w:bCs/>
      <w:caps/>
      <w:szCs w:val="28"/>
    </w:rPr>
  </w:style>
  <w:style w:type="paragraph" w:styleId="2">
    <w:name w:val="heading 2"/>
    <w:basedOn w:val="a"/>
    <w:next w:val="a"/>
    <w:link w:val="20"/>
    <w:uiPriority w:val="9"/>
    <w:unhideWhenUsed/>
    <w:qFormat/>
    <w:rsid w:val="00CE052A"/>
    <w:pPr>
      <w:keepNext/>
      <w:keepLines/>
      <w:spacing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28A"/>
    <w:pPr>
      <w:spacing w:after="0"/>
    </w:pPr>
    <w:rPr>
      <w:rFonts w:ascii="Tahoma" w:hAnsi="Tahoma" w:cs="Tahoma"/>
      <w:sz w:val="16"/>
      <w:szCs w:val="16"/>
    </w:rPr>
  </w:style>
  <w:style w:type="character" w:customStyle="1" w:styleId="a4">
    <w:name w:val="Текст выноски Знак"/>
    <w:basedOn w:val="a0"/>
    <w:link w:val="a3"/>
    <w:uiPriority w:val="99"/>
    <w:semiHidden/>
    <w:rsid w:val="0071028A"/>
    <w:rPr>
      <w:rFonts w:ascii="Tahoma" w:hAnsi="Tahoma" w:cs="Tahoma"/>
      <w:sz w:val="16"/>
      <w:szCs w:val="16"/>
    </w:rPr>
  </w:style>
  <w:style w:type="paragraph" w:styleId="a5">
    <w:name w:val="footnote text"/>
    <w:basedOn w:val="a"/>
    <w:link w:val="a6"/>
    <w:uiPriority w:val="99"/>
    <w:semiHidden/>
    <w:unhideWhenUsed/>
    <w:rsid w:val="00091493"/>
    <w:pPr>
      <w:spacing w:after="0"/>
    </w:pPr>
    <w:rPr>
      <w:sz w:val="20"/>
      <w:szCs w:val="20"/>
    </w:rPr>
  </w:style>
  <w:style w:type="character" w:customStyle="1" w:styleId="a6">
    <w:name w:val="Текст сноски Знак"/>
    <w:basedOn w:val="a0"/>
    <w:link w:val="a5"/>
    <w:uiPriority w:val="99"/>
    <w:semiHidden/>
    <w:rsid w:val="00091493"/>
    <w:rPr>
      <w:sz w:val="20"/>
      <w:szCs w:val="20"/>
    </w:rPr>
  </w:style>
  <w:style w:type="character" w:styleId="a7">
    <w:name w:val="footnote reference"/>
    <w:basedOn w:val="a0"/>
    <w:uiPriority w:val="99"/>
    <w:semiHidden/>
    <w:unhideWhenUsed/>
    <w:rsid w:val="00091493"/>
    <w:rPr>
      <w:vertAlign w:val="superscript"/>
    </w:rPr>
  </w:style>
  <w:style w:type="table" w:styleId="a8">
    <w:name w:val="Table Grid"/>
    <w:basedOn w:val="a1"/>
    <w:uiPriority w:val="59"/>
    <w:rsid w:val="002A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E4D85"/>
    <w:pPr>
      <w:ind w:left="720"/>
      <w:contextualSpacing/>
    </w:pPr>
  </w:style>
  <w:style w:type="paragraph" w:styleId="aa">
    <w:name w:val="Document Map"/>
    <w:basedOn w:val="a"/>
    <w:link w:val="ab"/>
    <w:uiPriority w:val="99"/>
    <w:semiHidden/>
    <w:unhideWhenUsed/>
    <w:rsid w:val="00CE052A"/>
    <w:pPr>
      <w:spacing w:after="0"/>
    </w:pPr>
    <w:rPr>
      <w:rFonts w:ascii="Tahoma" w:hAnsi="Tahoma" w:cs="Tahoma"/>
      <w:sz w:val="16"/>
      <w:szCs w:val="16"/>
    </w:rPr>
  </w:style>
  <w:style w:type="character" w:customStyle="1" w:styleId="ab">
    <w:name w:val="Схема документа Знак"/>
    <w:basedOn w:val="a0"/>
    <w:link w:val="aa"/>
    <w:uiPriority w:val="99"/>
    <w:semiHidden/>
    <w:rsid w:val="00CE052A"/>
    <w:rPr>
      <w:rFonts w:ascii="Tahoma" w:hAnsi="Tahoma" w:cs="Tahoma"/>
      <w:sz w:val="16"/>
      <w:szCs w:val="16"/>
    </w:rPr>
  </w:style>
  <w:style w:type="character" w:customStyle="1" w:styleId="10">
    <w:name w:val="Заголовок 1 Знак"/>
    <w:basedOn w:val="a0"/>
    <w:link w:val="1"/>
    <w:uiPriority w:val="9"/>
    <w:rsid w:val="00CE052A"/>
    <w:rPr>
      <w:rFonts w:ascii="Times New Roman" w:eastAsiaTheme="majorEastAsia" w:hAnsi="Times New Roman" w:cstheme="majorBidi"/>
      <w:b/>
      <w:bCs/>
      <w:caps/>
      <w:sz w:val="24"/>
      <w:szCs w:val="28"/>
    </w:rPr>
  </w:style>
  <w:style w:type="character" w:styleId="ac">
    <w:name w:val="Subtle Emphasis"/>
    <w:basedOn w:val="a0"/>
    <w:uiPriority w:val="19"/>
    <w:qFormat/>
    <w:rsid w:val="00CE052A"/>
    <w:rPr>
      <w:i/>
      <w:iCs/>
      <w:color w:val="808080" w:themeColor="text1" w:themeTint="7F"/>
    </w:rPr>
  </w:style>
  <w:style w:type="character" w:customStyle="1" w:styleId="20">
    <w:name w:val="Заголовок 2 Знак"/>
    <w:basedOn w:val="a0"/>
    <w:link w:val="2"/>
    <w:uiPriority w:val="9"/>
    <w:rsid w:val="00CE052A"/>
    <w:rPr>
      <w:rFonts w:ascii="Times New Roman" w:eastAsiaTheme="majorEastAsia" w:hAnsi="Times New Roman" w:cstheme="majorBidi"/>
      <w:b/>
      <w:bCs/>
      <w:sz w:val="24"/>
      <w:szCs w:val="26"/>
    </w:rPr>
  </w:style>
  <w:style w:type="paragraph" w:styleId="11">
    <w:name w:val="toc 1"/>
    <w:basedOn w:val="a"/>
    <w:next w:val="a"/>
    <w:autoRedefine/>
    <w:uiPriority w:val="39"/>
    <w:unhideWhenUsed/>
    <w:rsid w:val="00A40A3C"/>
    <w:pPr>
      <w:spacing w:after="100"/>
    </w:pPr>
  </w:style>
  <w:style w:type="paragraph" w:styleId="21">
    <w:name w:val="toc 2"/>
    <w:basedOn w:val="a"/>
    <w:next w:val="a"/>
    <w:autoRedefine/>
    <w:uiPriority w:val="39"/>
    <w:unhideWhenUsed/>
    <w:rsid w:val="00A40A3C"/>
    <w:pPr>
      <w:spacing w:after="100"/>
      <w:ind w:left="220"/>
    </w:pPr>
  </w:style>
  <w:style w:type="character" w:styleId="ad">
    <w:name w:val="Hyperlink"/>
    <w:basedOn w:val="a0"/>
    <w:uiPriority w:val="99"/>
    <w:unhideWhenUsed/>
    <w:rsid w:val="00A40A3C"/>
    <w:rPr>
      <w:color w:val="0000FF" w:themeColor="hyperlink"/>
      <w:u w:val="single"/>
    </w:rPr>
  </w:style>
  <w:style w:type="paragraph" w:styleId="ae">
    <w:name w:val="Body Text"/>
    <w:aliases w:val="Основной текст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Основной текст Знак1, Знак,bt,Знак,b"/>
    <w:basedOn w:val="a"/>
    <w:link w:val="af"/>
    <w:rsid w:val="001F41C0"/>
    <w:pPr>
      <w:spacing w:after="0"/>
      <w:ind w:firstLine="340"/>
    </w:pPr>
    <w:rPr>
      <w:rFonts w:eastAsia="Times New Roman" w:cs="Times New Roman"/>
      <w:szCs w:val="20"/>
      <w:lang w:eastAsia="ru-RU"/>
    </w:rPr>
  </w:style>
  <w:style w:type="character" w:customStyle="1" w:styleId="af">
    <w:name w:val="Основной текст Знак"/>
    <w:aliases w:val="Основной текст Знак Знак Знак Знак Знак Знак,Основной текст Знак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bt Знак"/>
    <w:basedOn w:val="a0"/>
    <w:link w:val="ae"/>
    <w:rsid w:val="001F41C0"/>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1F41C0"/>
    <w:pPr>
      <w:tabs>
        <w:tab w:val="center" w:pos="4677"/>
        <w:tab w:val="right" w:pos="9355"/>
      </w:tabs>
      <w:spacing w:after="0"/>
    </w:pPr>
  </w:style>
  <w:style w:type="character" w:customStyle="1" w:styleId="af1">
    <w:name w:val="Верхний колонтитул Знак"/>
    <w:basedOn w:val="a0"/>
    <w:link w:val="af0"/>
    <w:uiPriority w:val="99"/>
    <w:rsid w:val="001F41C0"/>
    <w:rPr>
      <w:rFonts w:ascii="Times New Roman" w:hAnsi="Times New Roman"/>
      <w:sz w:val="24"/>
    </w:rPr>
  </w:style>
  <w:style w:type="paragraph" w:styleId="af2">
    <w:name w:val="footer"/>
    <w:basedOn w:val="a"/>
    <w:link w:val="af3"/>
    <w:uiPriority w:val="99"/>
    <w:unhideWhenUsed/>
    <w:rsid w:val="001F41C0"/>
    <w:pPr>
      <w:tabs>
        <w:tab w:val="center" w:pos="4677"/>
        <w:tab w:val="right" w:pos="9355"/>
      </w:tabs>
      <w:spacing w:after="0"/>
    </w:pPr>
  </w:style>
  <w:style w:type="character" w:customStyle="1" w:styleId="af3">
    <w:name w:val="Нижний колонтитул Знак"/>
    <w:basedOn w:val="a0"/>
    <w:link w:val="af2"/>
    <w:uiPriority w:val="99"/>
    <w:rsid w:val="001F41C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720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oltoranina\Desktop\&#1053;&#1086;&#1074;&#1086;&#1089;&#1090;&#1088;&#1086;&#1081;&#1082;&#1080;_09.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oltoranina\Desktop\&#1053;&#1086;&#1074;&#1086;&#1089;&#1090;&#1088;&#1086;&#1081;&#1082;&#1080;_09.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oltoranina\Desktop\&#1053;&#1086;&#1074;&#1086;&#1089;&#1090;&#1088;&#1086;&#1081;&#1082;&#1080;_09.2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oltoranina\Desktop\&#1053;&#1086;&#1074;&#1086;&#1089;&#1090;&#1088;&#1086;&#1081;&#1082;&#1080;_09.20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oltoranina\Desktop\&#1053;&#1086;&#1074;&#1086;&#1089;&#1090;&#1088;&#1086;&#1081;&#1082;&#1080;_09.20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4;&#1080;&#1082;&#1072;\Desktop\&#1053;&#1086;&#1074;&#1086;&#1089;&#1090;&#1088;&#1086;&#1081;&#1082;&#1080;_09.20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4;&#1080;&#1082;&#1072;\Desktop\&#1053;&#1086;&#1074;&#1086;&#1089;&#1090;&#1088;&#1086;&#1081;&#1082;&#1080;_09.201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roshina\Desktop\&#1075;&#1088;&#1072;&#1092;&#1080;&#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_VM\_&#1056;&#1099;&#1085;&#1082;&#1080;\_&#1058;&#1102;&#1084;&#1077;&#1085;&#1100;\_&#1046;&#1080;&#1083;&#1100;&#1077;_&#1044;&#1080;&#1085;&#1072;&#1084;&#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2"/>
          <c:order val="1"/>
          <c:tx>
            <c:strRef>
              <c:f>БД_анализ_сент12!$AN$140</c:f>
              <c:strCache>
                <c:ptCount val="1"/>
                <c:pt idx="0">
                  <c:v>Средняя цена за 1 кв. м, руб.</c:v>
                </c:pt>
              </c:strCache>
            </c:strRef>
          </c:tx>
          <c:spPr>
            <a:solidFill>
              <a:srgbClr val="605544"/>
            </a:solidFill>
          </c:spPr>
          <c:dLbls>
            <c:txPr>
              <a:bodyPr/>
              <a:lstStyle/>
              <a:p>
                <a:pPr>
                  <a:defRPr b="1"/>
                </a:pPr>
                <a:endParaRPr lang="ru-RU"/>
              </a:p>
            </c:txPr>
            <c:showVal val="1"/>
          </c:dLbls>
          <c:cat>
            <c:strRef>
              <c:f>БД_анализ_сент12!$AO$138:$AS$138</c:f>
              <c:strCache>
                <c:ptCount val="5"/>
                <c:pt idx="0">
                  <c:v>все</c:v>
                </c:pt>
                <c:pt idx="1">
                  <c:v>1-комн.</c:v>
                </c:pt>
                <c:pt idx="2">
                  <c:v>2-комн.</c:v>
                </c:pt>
                <c:pt idx="3">
                  <c:v>3-комн.</c:v>
                </c:pt>
                <c:pt idx="4">
                  <c:v>4 и более</c:v>
                </c:pt>
              </c:strCache>
            </c:strRef>
          </c:cat>
          <c:val>
            <c:numRef>
              <c:f>БД_анализ_сент12!$AO$140:$AS$140</c:f>
              <c:numCache>
                <c:formatCode>#,##0</c:formatCode>
                <c:ptCount val="5"/>
                <c:pt idx="0">
                  <c:v>56364.269627265799</c:v>
                </c:pt>
                <c:pt idx="1">
                  <c:v>57224.951209542603</c:v>
                </c:pt>
                <c:pt idx="2">
                  <c:v>57271.572352671436</c:v>
                </c:pt>
                <c:pt idx="3">
                  <c:v>57646.110805578297</c:v>
                </c:pt>
                <c:pt idx="4">
                  <c:v>66779.880838141791</c:v>
                </c:pt>
              </c:numCache>
            </c:numRef>
          </c:val>
        </c:ser>
        <c:gapWidth val="100"/>
        <c:axId val="60336384"/>
        <c:axId val="60436864"/>
      </c:barChart>
      <c:lineChart>
        <c:grouping val="standard"/>
        <c:ser>
          <c:idx val="1"/>
          <c:order val="0"/>
          <c:tx>
            <c:strRef>
              <c:f>БД_анализ_сент12!$AM$144</c:f>
              <c:strCache>
                <c:ptCount val="1"/>
                <c:pt idx="0">
                  <c:v>Средняя цена за объект, тыс. руб.</c:v>
                </c:pt>
              </c:strCache>
            </c:strRef>
          </c:tx>
          <c:spPr>
            <a:ln>
              <a:solidFill>
                <a:srgbClr val="F4C02E"/>
              </a:solidFill>
            </a:ln>
          </c:spPr>
          <c:marker>
            <c:symbol val="diamond"/>
            <c:size val="40"/>
            <c:spPr>
              <a:solidFill>
                <a:srgbClr val="F4C02E"/>
              </a:solidFill>
              <a:ln>
                <a:noFill/>
              </a:ln>
            </c:spPr>
          </c:marker>
          <c:dLbls>
            <c:txPr>
              <a:bodyPr/>
              <a:lstStyle/>
              <a:p>
                <a:pPr>
                  <a:defRPr b="1"/>
                </a:pPr>
                <a:endParaRPr lang="ru-RU"/>
              </a:p>
            </c:txPr>
            <c:dLblPos val="ctr"/>
            <c:showVal val="1"/>
          </c:dLbls>
          <c:val>
            <c:numRef>
              <c:f>БД_анализ_сент12!$AO$146:$AS$146</c:f>
              <c:numCache>
                <c:formatCode>#,##0</c:formatCode>
                <c:ptCount val="5"/>
                <c:pt idx="0">
                  <c:v>4972.0002756849344</c:v>
                </c:pt>
                <c:pt idx="1">
                  <c:v>2542.3167571428571</c:v>
                </c:pt>
                <c:pt idx="2">
                  <c:v>4027.1169270833352</c:v>
                </c:pt>
                <c:pt idx="3">
                  <c:v>5895.7953947368405</c:v>
                </c:pt>
                <c:pt idx="4">
                  <c:v>10553.487741935494</c:v>
                </c:pt>
              </c:numCache>
            </c:numRef>
          </c:val>
        </c:ser>
        <c:marker val="1"/>
        <c:axId val="60438400"/>
        <c:axId val="60439936"/>
      </c:lineChart>
      <c:catAx>
        <c:axId val="60336384"/>
        <c:scaling>
          <c:orientation val="minMax"/>
        </c:scaling>
        <c:axPos val="b"/>
        <c:numFmt formatCode="General" sourceLinked="1"/>
        <c:tickLblPos val="nextTo"/>
        <c:crossAx val="60436864"/>
        <c:crosses val="autoZero"/>
        <c:auto val="1"/>
        <c:lblAlgn val="ctr"/>
        <c:lblOffset val="100"/>
      </c:catAx>
      <c:valAx>
        <c:axId val="60436864"/>
        <c:scaling>
          <c:orientation val="minMax"/>
          <c:max val="70000"/>
          <c:min val="0"/>
        </c:scaling>
        <c:axPos val="l"/>
        <c:majorGridlines>
          <c:spPr>
            <a:ln>
              <a:solidFill>
                <a:schemeClr val="bg1">
                  <a:lumMod val="85000"/>
                </a:schemeClr>
              </a:solidFill>
              <a:prstDash val="lgDash"/>
            </a:ln>
          </c:spPr>
        </c:majorGridlines>
        <c:numFmt formatCode="#,##0" sourceLinked="1"/>
        <c:tickLblPos val="nextTo"/>
        <c:crossAx val="60336384"/>
        <c:crosses val="autoZero"/>
        <c:crossBetween val="between"/>
      </c:valAx>
      <c:catAx>
        <c:axId val="60438400"/>
        <c:scaling>
          <c:orientation val="minMax"/>
        </c:scaling>
        <c:delete val="1"/>
        <c:axPos val="b"/>
        <c:tickLblPos val="none"/>
        <c:crossAx val="60439936"/>
        <c:crosses val="autoZero"/>
        <c:auto val="1"/>
        <c:lblAlgn val="ctr"/>
        <c:lblOffset val="100"/>
      </c:catAx>
      <c:valAx>
        <c:axId val="60439936"/>
        <c:scaling>
          <c:orientation val="minMax"/>
          <c:max val="14000"/>
        </c:scaling>
        <c:axPos val="r"/>
        <c:numFmt formatCode="#,##0" sourceLinked="1"/>
        <c:tickLblPos val="nextTo"/>
        <c:crossAx val="60438400"/>
        <c:crosses val="max"/>
        <c:crossBetween val="between"/>
      </c:valAx>
    </c:plotArea>
    <c:legend>
      <c:legendPos val="b"/>
      <c:layout>
        <c:manualLayout>
          <c:xMode val="edge"/>
          <c:yMode val="edge"/>
          <c:x val="5.3865518022805432E-2"/>
          <c:y val="0.86590664539025641"/>
          <c:w val="0.93444412043193559"/>
          <c:h val="0.12483427943600126"/>
        </c:manualLayout>
      </c:layout>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2"/>
          <c:order val="1"/>
          <c:tx>
            <c:strRef>
              <c:f>БД_анализ_сент12!$AK$152</c:f>
              <c:strCache>
                <c:ptCount val="1"/>
                <c:pt idx="0">
                  <c:v>Средняя удельная цена за 1 кв. м, руб.</c:v>
                </c:pt>
              </c:strCache>
            </c:strRef>
          </c:tx>
          <c:spPr>
            <a:solidFill>
              <a:srgbClr val="605544"/>
            </a:solidFill>
          </c:spPr>
          <c:dLbls>
            <c:txPr>
              <a:bodyPr/>
              <a:lstStyle/>
              <a:p>
                <a:pPr>
                  <a:defRPr b="1"/>
                </a:pPr>
                <a:endParaRPr lang="ru-RU"/>
              </a:p>
            </c:txPr>
            <c:showVal val="1"/>
          </c:dLbls>
          <c:cat>
            <c:strRef>
              <c:f>БД_анализ_сент12!$AL$150:$AT$150</c:f>
              <c:strCache>
                <c:ptCount val="9"/>
                <c:pt idx="0">
                  <c:v>Все</c:v>
                </c:pt>
                <c:pt idx="1">
                  <c:v>Центр</c:v>
                </c:pt>
                <c:pt idx="2">
                  <c:v>1-6, 
Вост. 
мкр.</c:v>
                </c:pt>
                <c:pt idx="3">
                  <c:v>Дом 
Обороны</c:v>
                </c:pt>
                <c:pt idx="4">
                  <c:v>МЖК, 
Тюм. 
мкр.</c:v>
                </c:pt>
                <c:pt idx="5">
                  <c:v>Черв., 
Моск. 
тракты, 
Южный</c:v>
                </c:pt>
                <c:pt idx="6">
                  <c:v>Зареч. 
мкр., 
СМП</c:v>
                </c:pt>
                <c:pt idx="7">
                  <c:v>Мыс,
Матмасы,
Тарманы</c:v>
                </c:pt>
                <c:pt idx="8">
                  <c:v>Окраина</c:v>
                </c:pt>
              </c:strCache>
            </c:strRef>
          </c:cat>
          <c:val>
            <c:numRef>
              <c:f>БД_анализ_сент12!$AL$152:$AT$152</c:f>
              <c:numCache>
                <c:formatCode>#,##0</c:formatCode>
                <c:ptCount val="9"/>
                <c:pt idx="0">
                  <c:v>56364.269627265799</c:v>
                </c:pt>
                <c:pt idx="1">
                  <c:v>73748.245073913538</c:v>
                </c:pt>
                <c:pt idx="2">
                  <c:v>55465.020833333336</c:v>
                </c:pt>
                <c:pt idx="3">
                  <c:v>52585.240541412568</c:v>
                </c:pt>
                <c:pt idx="4">
                  <c:v>47722.336161950567</c:v>
                </c:pt>
                <c:pt idx="5">
                  <c:v>46159.681829189933</c:v>
                </c:pt>
                <c:pt idx="6">
                  <c:v>55484.998598596212</c:v>
                </c:pt>
                <c:pt idx="7">
                  <c:v>45940.332236204245</c:v>
                </c:pt>
                <c:pt idx="8">
                  <c:v>45528.309590431942</c:v>
                </c:pt>
              </c:numCache>
            </c:numRef>
          </c:val>
        </c:ser>
        <c:gapWidth val="100"/>
        <c:axId val="79821056"/>
        <c:axId val="81335424"/>
      </c:barChart>
      <c:lineChart>
        <c:grouping val="standard"/>
        <c:ser>
          <c:idx val="1"/>
          <c:order val="0"/>
          <c:tx>
            <c:strRef>
              <c:f>БД_анализ_сент12!$AK$154</c:f>
              <c:strCache>
                <c:ptCount val="1"/>
                <c:pt idx="0">
                  <c:v>Разница от среднего значения</c:v>
                </c:pt>
              </c:strCache>
            </c:strRef>
          </c:tx>
          <c:spPr>
            <a:ln>
              <a:solidFill>
                <a:srgbClr val="F4C02E"/>
              </a:solidFill>
            </a:ln>
          </c:spPr>
          <c:marker>
            <c:symbol val="diamond"/>
            <c:size val="30"/>
            <c:spPr>
              <a:solidFill>
                <a:srgbClr val="F4C02E"/>
              </a:solidFill>
              <a:ln>
                <a:noFill/>
              </a:ln>
            </c:spPr>
          </c:marker>
          <c:dLbls>
            <c:spPr>
              <a:noFill/>
            </c:spPr>
            <c:txPr>
              <a:bodyPr/>
              <a:lstStyle/>
              <a:p>
                <a:pPr>
                  <a:defRPr b="1">
                    <a:solidFill>
                      <a:sysClr val="windowText" lastClr="000000"/>
                    </a:solidFill>
                  </a:defRPr>
                </a:pPr>
                <a:endParaRPr lang="ru-RU"/>
              </a:p>
            </c:txPr>
            <c:dLblPos val="ctr"/>
            <c:showVal val="1"/>
          </c:dLbls>
          <c:val>
            <c:numRef>
              <c:f>БД_анализ_сент12!$AL$154:$AT$154</c:f>
              <c:numCache>
                <c:formatCode>0%</c:formatCode>
                <c:ptCount val="9"/>
                <c:pt idx="1">
                  <c:v>0.30842190560806287</c:v>
                </c:pt>
                <c:pt idx="2">
                  <c:v>-1.5954234834927531E-2</c:v>
                </c:pt>
                <c:pt idx="3">
                  <c:v>-6.7046536943419638E-2</c:v>
                </c:pt>
                <c:pt idx="4">
                  <c:v>-0.15332290336527071</c:v>
                </c:pt>
                <c:pt idx="5">
                  <c:v>-0.18104710423036499</c:v>
                </c:pt>
                <c:pt idx="6">
                  <c:v>-1.5599794594773342E-2</c:v>
                </c:pt>
                <c:pt idx="7">
                  <c:v>-0.18493874683367384</c:v>
                </c:pt>
                <c:pt idx="8">
                  <c:v>-0.19224874390268254</c:v>
                </c:pt>
              </c:numCache>
            </c:numRef>
          </c:val>
        </c:ser>
        <c:marker val="1"/>
        <c:axId val="88418944"/>
        <c:axId val="88455808"/>
      </c:lineChart>
      <c:catAx>
        <c:axId val="79821056"/>
        <c:scaling>
          <c:orientation val="minMax"/>
        </c:scaling>
        <c:axPos val="b"/>
        <c:numFmt formatCode="General" sourceLinked="1"/>
        <c:tickLblPos val="nextTo"/>
        <c:crossAx val="81335424"/>
        <c:crosses val="autoZero"/>
        <c:auto val="1"/>
        <c:lblAlgn val="ctr"/>
        <c:lblOffset val="100"/>
      </c:catAx>
      <c:valAx>
        <c:axId val="81335424"/>
        <c:scaling>
          <c:orientation val="minMax"/>
          <c:max val="80000"/>
          <c:min val="0"/>
        </c:scaling>
        <c:axPos val="l"/>
        <c:majorGridlines>
          <c:spPr>
            <a:ln>
              <a:solidFill>
                <a:schemeClr val="bg1">
                  <a:lumMod val="85000"/>
                </a:schemeClr>
              </a:solidFill>
              <a:prstDash val="lgDash"/>
            </a:ln>
          </c:spPr>
        </c:majorGridlines>
        <c:numFmt formatCode="#,##0" sourceLinked="1"/>
        <c:tickLblPos val="nextTo"/>
        <c:crossAx val="79821056"/>
        <c:crosses val="autoZero"/>
        <c:crossBetween val="between"/>
      </c:valAx>
      <c:catAx>
        <c:axId val="88418944"/>
        <c:scaling>
          <c:orientation val="minMax"/>
        </c:scaling>
        <c:delete val="1"/>
        <c:axPos val="b"/>
        <c:tickLblPos val="none"/>
        <c:crossAx val="88455808"/>
        <c:crosses val="autoZero"/>
        <c:auto val="1"/>
        <c:lblAlgn val="ctr"/>
        <c:lblOffset val="100"/>
      </c:catAx>
      <c:valAx>
        <c:axId val="88455808"/>
        <c:scaling>
          <c:orientation val="minMax"/>
          <c:max val="0.8"/>
          <c:min val="-0.60000000000000064"/>
        </c:scaling>
        <c:axPos val="r"/>
        <c:numFmt formatCode="General" sourceLinked="1"/>
        <c:tickLblPos val="nextTo"/>
        <c:crossAx val="88418944"/>
        <c:crosses val="max"/>
        <c:crossBetween val="between"/>
      </c:valAx>
    </c:plotArea>
    <c:legend>
      <c:legendPos val="b"/>
      <c:layout>
        <c:manualLayout>
          <c:xMode val="edge"/>
          <c:yMode val="edge"/>
          <c:x val="0.1613121956762355"/>
          <c:y val="0.89118538898319966"/>
          <c:w val="0.72855951829550991"/>
          <c:h val="9.5307198006084795E-2"/>
        </c:manualLayout>
      </c:layout>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pieChart>
        <c:varyColors val="1"/>
        <c:ser>
          <c:idx val="0"/>
          <c:order val="0"/>
          <c:dLbls>
            <c:txPr>
              <a:bodyPr/>
              <a:lstStyle/>
              <a:p>
                <a:pPr>
                  <a:defRPr>
                    <a:latin typeface="Times New Roman" pitchFamily="18" charset="0"/>
                    <a:cs typeface="Times New Roman" pitchFamily="18" charset="0"/>
                  </a:defRPr>
                </a:pPr>
                <a:endParaRPr lang="ru-RU"/>
              </a:p>
            </c:txPr>
            <c:dLblPos val="outEnd"/>
            <c:showVal val="1"/>
            <c:showCatName val="1"/>
            <c:showLeaderLines val="1"/>
          </c:dLbls>
          <c:cat>
            <c:strRef>
              <c:f>БД_анализ_сент12!$AL$169:$AL$172</c:f>
              <c:strCache>
                <c:ptCount val="4"/>
                <c:pt idx="0">
                  <c:v>Эконом</c:v>
                </c:pt>
                <c:pt idx="1">
                  <c:v>Стандарт</c:v>
                </c:pt>
                <c:pt idx="2">
                  <c:v>Бизнес</c:v>
                </c:pt>
                <c:pt idx="3">
                  <c:v>Премиум</c:v>
                </c:pt>
              </c:strCache>
            </c:strRef>
          </c:cat>
          <c:val>
            <c:numRef>
              <c:f>БД_анализ_сент12!$AN$169:$AN$172</c:f>
              <c:numCache>
                <c:formatCode>0%</c:formatCode>
                <c:ptCount val="4"/>
                <c:pt idx="0">
                  <c:v>0.19402985074626874</c:v>
                </c:pt>
                <c:pt idx="1">
                  <c:v>0.70149253731343364</c:v>
                </c:pt>
                <c:pt idx="2">
                  <c:v>5.9701492537313675E-2</c:v>
                </c:pt>
                <c:pt idx="3">
                  <c:v>4.4776119402985093E-2</c:v>
                </c:pt>
              </c:numCache>
            </c:numRef>
          </c:val>
        </c:ser>
        <c:firstSliceAng val="0"/>
      </c:pieChart>
      <c:spPr>
        <a:noFill/>
        <a:ln w="25400">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2"/>
          <c:order val="0"/>
          <c:spPr>
            <a:solidFill>
              <a:srgbClr val="605544"/>
            </a:solidFill>
          </c:spPr>
          <c:dLbls>
            <c:txPr>
              <a:bodyPr/>
              <a:lstStyle/>
              <a:p>
                <a:pPr>
                  <a:defRPr b="1"/>
                </a:pPr>
                <a:endParaRPr lang="ru-RU"/>
              </a:p>
            </c:txPr>
            <c:showVal val="1"/>
          </c:dLbls>
          <c:cat>
            <c:strRef>
              <c:f>БД_анализ_сент12!$AL$169:$AL$172</c:f>
              <c:strCache>
                <c:ptCount val="4"/>
                <c:pt idx="0">
                  <c:v>Эконом</c:v>
                </c:pt>
                <c:pt idx="1">
                  <c:v>Стандарт</c:v>
                </c:pt>
                <c:pt idx="2">
                  <c:v>Бизнес</c:v>
                </c:pt>
                <c:pt idx="3">
                  <c:v>Премиум</c:v>
                </c:pt>
              </c:strCache>
            </c:strRef>
          </c:cat>
          <c:val>
            <c:numRef>
              <c:f>БД_анализ_сент12!$AO$169:$AO$172</c:f>
              <c:numCache>
                <c:formatCode>#,##0</c:formatCode>
                <c:ptCount val="4"/>
                <c:pt idx="0">
                  <c:v>46975.986154441511</c:v>
                </c:pt>
                <c:pt idx="1">
                  <c:v>54785.163301040906</c:v>
                </c:pt>
                <c:pt idx="2">
                  <c:v>67704.535774789983</c:v>
                </c:pt>
                <c:pt idx="3">
                  <c:v>106665.80892366542</c:v>
                </c:pt>
              </c:numCache>
            </c:numRef>
          </c:val>
        </c:ser>
        <c:gapWidth val="100"/>
        <c:axId val="60332288"/>
        <c:axId val="60354560"/>
      </c:barChart>
      <c:catAx>
        <c:axId val="60332288"/>
        <c:scaling>
          <c:orientation val="minMax"/>
        </c:scaling>
        <c:axPos val="b"/>
        <c:numFmt formatCode="General" sourceLinked="1"/>
        <c:tickLblPos val="nextTo"/>
        <c:crossAx val="60354560"/>
        <c:crosses val="autoZero"/>
        <c:auto val="1"/>
        <c:lblAlgn val="ctr"/>
        <c:lblOffset val="100"/>
      </c:catAx>
      <c:valAx>
        <c:axId val="60354560"/>
        <c:scaling>
          <c:orientation val="minMax"/>
        </c:scaling>
        <c:axPos val="l"/>
        <c:majorGridlines>
          <c:spPr>
            <a:ln>
              <a:solidFill>
                <a:schemeClr val="bg1">
                  <a:lumMod val="85000"/>
                </a:schemeClr>
              </a:solidFill>
              <a:prstDash val="lgDash"/>
            </a:ln>
          </c:spPr>
        </c:majorGridlines>
        <c:numFmt formatCode="#,##0" sourceLinked="1"/>
        <c:tickLblPos val="nextTo"/>
        <c:crossAx val="60332288"/>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2"/>
          <c:order val="0"/>
          <c:spPr>
            <a:solidFill>
              <a:srgbClr val="605544"/>
            </a:solidFill>
          </c:spPr>
          <c:dLbls>
            <c:txPr>
              <a:bodyPr/>
              <a:lstStyle/>
              <a:p>
                <a:pPr>
                  <a:defRPr b="1"/>
                </a:pPr>
                <a:endParaRPr lang="ru-RU"/>
              </a:p>
            </c:txPr>
            <c:showVal val="1"/>
          </c:dLbls>
          <c:cat>
            <c:strRef>
              <c:f>БД_анализ_сент12!$AD$166:$AD$169</c:f>
              <c:strCache>
                <c:ptCount val="4"/>
                <c:pt idx="0">
                  <c:v>Дом сдан</c:v>
                </c:pt>
                <c:pt idx="1">
                  <c:v>Сдача 2012</c:v>
                </c:pt>
                <c:pt idx="2">
                  <c:v>Сдача 2013</c:v>
                </c:pt>
                <c:pt idx="3">
                  <c:v>Сдача 2014</c:v>
                </c:pt>
              </c:strCache>
            </c:strRef>
          </c:cat>
          <c:val>
            <c:numRef>
              <c:f>БД_анализ_сент12!$AE$166:$AE$169</c:f>
              <c:numCache>
                <c:formatCode>#,##0</c:formatCode>
                <c:ptCount val="4"/>
                <c:pt idx="0">
                  <c:v>61251.084785512976</c:v>
                </c:pt>
                <c:pt idx="1">
                  <c:v>57198.905461106726</c:v>
                </c:pt>
                <c:pt idx="2">
                  <c:v>52187.150305259202</c:v>
                </c:pt>
                <c:pt idx="3">
                  <c:v>56168.447170535772</c:v>
                </c:pt>
              </c:numCache>
            </c:numRef>
          </c:val>
        </c:ser>
        <c:gapWidth val="100"/>
        <c:axId val="60476416"/>
        <c:axId val="60486400"/>
      </c:barChart>
      <c:catAx>
        <c:axId val="60476416"/>
        <c:scaling>
          <c:orientation val="minMax"/>
        </c:scaling>
        <c:axPos val="b"/>
        <c:numFmt formatCode="General" sourceLinked="1"/>
        <c:tickLblPos val="nextTo"/>
        <c:crossAx val="60486400"/>
        <c:crosses val="autoZero"/>
        <c:auto val="1"/>
        <c:lblAlgn val="ctr"/>
        <c:lblOffset val="100"/>
      </c:catAx>
      <c:valAx>
        <c:axId val="60486400"/>
        <c:scaling>
          <c:orientation val="minMax"/>
          <c:min val="0"/>
        </c:scaling>
        <c:axPos val="l"/>
        <c:majorGridlines>
          <c:spPr>
            <a:ln>
              <a:solidFill>
                <a:schemeClr val="bg1">
                  <a:lumMod val="85000"/>
                </a:schemeClr>
              </a:solidFill>
              <a:prstDash val="lgDash"/>
            </a:ln>
          </c:spPr>
        </c:majorGridlines>
        <c:numFmt formatCode="#,##0" sourceLinked="1"/>
        <c:tickLblPos val="nextTo"/>
        <c:crossAx val="60476416"/>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pieChart>
        <c:varyColors val="1"/>
        <c:ser>
          <c:idx val="0"/>
          <c:order val="0"/>
          <c:dLbls>
            <c:dLbl>
              <c:idx val="1"/>
              <c:layout>
                <c:manualLayout>
                  <c:x val="-1.3015183492566081E-2"/>
                  <c:y val="-8.0835315230678561E-3"/>
                </c:manualLayout>
              </c:layout>
              <c:dLblPos val="bestFit"/>
              <c:showVal val="1"/>
              <c:showCatName val="1"/>
            </c:dLbl>
            <c:dLbl>
              <c:idx val="2"/>
              <c:layout>
                <c:manualLayout>
                  <c:x val="-9.7904924392032567E-3"/>
                  <c:y val="5.3577265035767187E-3"/>
                </c:manualLayout>
              </c:layout>
              <c:dLblPos val="bestFit"/>
              <c:showVal val="1"/>
              <c:showCatName val="1"/>
            </c:dLbl>
            <c:dLbl>
              <c:idx val="3"/>
              <c:layout>
                <c:manualLayout>
                  <c:x val="-3.2484472207359637E-2"/>
                  <c:y val="0"/>
                </c:manualLayout>
              </c:layout>
              <c:dLblPos val="bestFit"/>
              <c:showVal val="1"/>
              <c:showCatName val="1"/>
            </c:dLbl>
            <c:dLbl>
              <c:idx val="4"/>
              <c:layout>
                <c:manualLayout>
                  <c:x val="2.0824293588105804E-2"/>
                  <c:y val="0"/>
                </c:manualLayout>
              </c:layout>
              <c:dLblPos val="bestFit"/>
              <c:showVal val="1"/>
              <c:showCatName val="1"/>
            </c:dLbl>
            <c:dLbl>
              <c:idx val="9"/>
              <c:layout>
                <c:manualLayout>
                  <c:x val="3.1236440382158611E-2"/>
                  <c:y val="0"/>
                </c:manualLayout>
              </c:layout>
              <c:dLblPos val="bestFit"/>
              <c:showVal val="1"/>
              <c:showCatName val="1"/>
            </c:dLbl>
            <c:txPr>
              <a:bodyPr/>
              <a:lstStyle/>
              <a:p>
                <a:pPr>
                  <a:defRPr sz="1000" b="0" i="0" u="none" strike="noStrike" baseline="0">
                    <a:solidFill>
                      <a:srgbClr val="000000"/>
                    </a:solidFill>
                    <a:latin typeface="Times New Roman"/>
                    <a:ea typeface="Times New Roman"/>
                    <a:cs typeface="Times New Roman"/>
                  </a:defRPr>
                </a:pPr>
                <a:endParaRPr lang="ru-RU"/>
              </a:p>
            </c:txPr>
            <c:dLblPos val="outEnd"/>
            <c:showVal val="1"/>
            <c:showCatName val="1"/>
            <c:showLeaderLines val="1"/>
          </c:dLbls>
          <c:cat>
            <c:strRef>
              <c:f>БД_анализ_сент12!$C$149:$C$158</c:f>
              <c:strCache>
                <c:ptCount val="10"/>
                <c:pt idx="0">
                  <c:v>Центр</c:v>
                </c:pt>
                <c:pt idx="1">
                  <c:v>6 мкр.</c:v>
                </c:pt>
                <c:pt idx="2">
                  <c:v>МЖК</c:v>
                </c:pt>
                <c:pt idx="3">
                  <c:v>Тюменский</c:v>
                </c:pt>
                <c:pt idx="4">
                  <c:v>Черв., Моск. тр.</c:v>
                </c:pt>
                <c:pt idx="5">
                  <c:v>Заречные мкр., СМП, Нефт.</c:v>
                </c:pt>
                <c:pt idx="6">
                  <c:v>Мыс, Матмасы, ММС, Тарманы</c:v>
                </c:pt>
                <c:pt idx="7">
                  <c:v>Лесобаза</c:v>
                </c:pt>
                <c:pt idx="8">
                  <c:v>Войновка</c:v>
                </c:pt>
                <c:pt idx="9">
                  <c:v>Вост., Вост.-2, Вост.-3</c:v>
                </c:pt>
              </c:strCache>
            </c:strRef>
          </c:cat>
          <c:val>
            <c:numRef>
              <c:f>БД_анализ_сент12!$F$149:$F$158</c:f>
              <c:numCache>
                <c:formatCode>0%</c:formatCode>
                <c:ptCount val="10"/>
                <c:pt idx="0">
                  <c:v>0.26846796653042881</c:v>
                </c:pt>
                <c:pt idx="1">
                  <c:v>2.2899928174508758E-2</c:v>
                </c:pt>
                <c:pt idx="2">
                  <c:v>1.9935442725981335E-2</c:v>
                </c:pt>
                <c:pt idx="3">
                  <c:v>0.18424829994383998</c:v>
                </c:pt>
                <c:pt idx="4">
                  <c:v>6.869493311488703E-2</c:v>
                </c:pt>
                <c:pt idx="5">
                  <c:v>0.16788673969740273</c:v>
                </c:pt>
                <c:pt idx="6">
                  <c:v>0.10332877016706002</c:v>
                </c:pt>
                <c:pt idx="7">
                  <c:v>2.8165269302556504E-2</c:v>
                </c:pt>
                <c:pt idx="8">
                  <c:v>3.4667753979826681E-2</c:v>
                </c:pt>
                <c:pt idx="9">
                  <c:v>0.10170489636350886</c:v>
                </c:pt>
              </c:numCache>
            </c:numRef>
          </c:val>
        </c:ser>
        <c:firstSliceAng val="0"/>
      </c:pieChart>
      <c:spPr>
        <a:noFill/>
        <a:ln w="25400">
          <a:noFill/>
        </a:ln>
      </c:spPr>
    </c:plotArea>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0"/>
          <c:order val="0"/>
          <c:tx>
            <c:strRef>
              <c:f>БД_анализ_сент12!$C$139</c:f>
              <c:strCache>
                <c:ptCount val="1"/>
                <c:pt idx="0">
                  <c:v>Восточный мкр.</c:v>
                </c:pt>
              </c:strCache>
            </c:strRef>
          </c:tx>
          <c:spPr>
            <a:solidFill>
              <a:srgbClr val="605544"/>
            </a:solidFill>
          </c:spPr>
          <c:dLbls>
            <c:showVal val="1"/>
          </c:dLbls>
          <c:cat>
            <c:strRef>
              <c:f>БД_анализ_сент12!$F$138:$J$138</c:f>
              <c:strCache>
                <c:ptCount val="5"/>
                <c:pt idx="0">
                  <c:v>В целом по району</c:v>
                </c:pt>
                <c:pt idx="1">
                  <c:v>Дом сдан</c:v>
                </c:pt>
                <c:pt idx="2">
                  <c:v>2012</c:v>
                </c:pt>
                <c:pt idx="3">
                  <c:v>2013</c:v>
                </c:pt>
                <c:pt idx="4">
                  <c:v>2014</c:v>
                </c:pt>
              </c:strCache>
            </c:strRef>
          </c:cat>
          <c:val>
            <c:numRef>
              <c:f>БД_анализ_сент12!$F$139:$J$139</c:f>
              <c:numCache>
                <c:formatCode>#,##0.0</c:formatCode>
                <c:ptCount val="5"/>
                <c:pt idx="0">
                  <c:v>49.094302924821967</c:v>
                </c:pt>
                <c:pt idx="1">
                  <c:v>50.151687326587528</c:v>
                </c:pt>
                <c:pt idx="2">
                  <c:v>47.92118131868132</c:v>
                </c:pt>
                <c:pt idx="3">
                  <c:v>48.219850825158822</c:v>
                </c:pt>
                <c:pt idx="4">
                  <c:v>50.276419759921453</c:v>
                </c:pt>
              </c:numCache>
            </c:numRef>
          </c:val>
        </c:ser>
        <c:ser>
          <c:idx val="3"/>
          <c:order val="1"/>
          <c:tx>
            <c:strRef>
              <c:f>БД_анализ_сент12!$C$140</c:f>
              <c:strCache>
                <c:ptCount val="1"/>
                <c:pt idx="0">
                  <c:v>Тюменский мкр.</c:v>
                </c:pt>
              </c:strCache>
            </c:strRef>
          </c:tx>
          <c:dLbls>
            <c:showVal val="1"/>
          </c:dLbls>
          <c:val>
            <c:numRef>
              <c:f>БД_анализ_сент12!$F$140:$J$140</c:f>
              <c:numCache>
                <c:formatCode>#,##0.0</c:formatCode>
                <c:ptCount val="5"/>
                <c:pt idx="0">
                  <c:v>47.812106045477606</c:v>
                </c:pt>
                <c:pt idx="1">
                  <c:v>47.54978784848398</c:v>
                </c:pt>
                <c:pt idx="2">
                  <c:v>48</c:v>
                </c:pt>
                <c:pt idx="3">
                  <c:v>47.131358530528416</c:v>
                </c:pt>
                <c:pt idx="4">
                  <c:v>48.81280559827885</c:v>
                </c:pt>
              </c:numCache>
            </c:numRef>
          </c:val>
        </c:ser>
        <c:gapWidth val="100"/>
        <c:axId val="62909056"/>
        <c:axId val="63127936"/>
      </c:barChart>
      <c:catAx>
        <c:axId val="62909056"/>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3127936"/>
        <c:crosses val="autoZero"/>
        <c:auto val="1"/>
        <c:lblAlgn val="ctr"/>
        <c:lblOffset val="100"/>
      </c:catAx>
      <c:valAx>
        <c:axId val="63127936"/>
        <c:scaling>
          <c:orientation val="minMax"/>
          <c:min val="0"/>
        </c:scaling>
        <c:axPos val="l"/>
        <c:majorGridlines>
          <c:spPr>
            <a:ln>
              <a:solidFill>
                <a:schemeClr val="bg1">
                  <a:lumMod val="85000"/>
                </a:schemeClr>
              </a:solidFill>
              <a:prstDash val="lgDash"/>
            </a:ln>
          </c:spPr>
        </c:majorGridlines>
        <c:numFmt formatCode="#,##0.0"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2909056"/>
        <c:crosses val="autoZero"/>
        <c:crossBetween val="between"/>
      </c:valAx>
    </c:plotArea>
    <c:legend>
      <c:legendPos val="b"/>
      <c:layout>
        <c:manualLayout>
          <c:xMode val="edge"/>
          <c:yMode val="edge"/>
          <c:x val="0.23841912673580232"/>
          <c:y val="0.86590666635878988"/>
          <c:w val="0.58863884185666537"/>
          <c:h val="0.12483427943600112"/>
        </c:manualLayout>
      </c:layout>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lineChart>
        <c:grouping val="standard"/>
        <c:ser>
          <c:idx val="0"/>
          <c:order val="0"/>
          <c:tx>
            <c:strRef>
              <c:f>Лист1!$B$5</c:f>
              <c:strCache>
                <c:ptCount val="1"/>
                <c:pt idx="0">
                  <c:v>РФ</c:v>
                </c:pt>
              </c:strCache>
            </c:strRef>
          </c:tx>
          <c:marker>
            <c:symbol val="circle"/>
            <c:size val="15"/>
          </c:marker>
          <c:dLbls>
            <c:dLbl>
              <c:idx val="0"/>
              <c:layout>
                <c:manualLayout>
                  <c:x val="-5.4107714882096522E-2"/>
                  <c:y val="4.0935672514619881E-2"/>
                </c:manualLayout>
              </c:layout>
              <c:dLblPos val="r"/>
              <c:showVal val="1"/>
            </c:dLbl>
            <c:dLbl>
              <c:idx val="2"/>
              <c:layout>
                <c:manualLayout>
                  <c:x val="-5.1555376444086219E-2"/>
                  <c:y val="-3.9473684210526348E-2"/>
                </c:manualLayout>
              </c:layout>
              <c:dLblPos val="r"/>
              <c:showVal val="1"/>
            </c:dLbl>
            <c:txPr>
              <a:bodyPr/>
              <a:lstStyle/>
              <a:p>
                <a:pPr>
                  <a:defRPr b="1"/>
                </a:pPr>
                <a:endParaRPr lang="ru-RU"/>
              </a:p>
            </c:txPr>
            <c:dLblPos val="ctr"/>
            <c:showVal val="1"/>
          </c:dLbls>
          <c:cat>
            <c:numRef>
              <c:f>Лист1!$C$1:$F$1</c:f>
              <c:numCache>
                <c:formatCode>General</c:formatCode>
                <c:ptCount val="4"/>
                <c:pt idx="0">
                  <c:v>2008</c:v>
                </c:pt>
                <c:pt idx="1">
                  <c:v>2009</c:v>
                </c:pt>
                <c:pt idx="2">
                  <c:v>2010</c:v>
                </c:pt>
                <c:pt idx="3">
                  <c:v>2011</c:v>
                </c:pt>
              </c:numCache>
            </c:numRef>
          </c:cat>
          <c:val>
            <c:numRef>
              <c:f>Лист1!$C$5:$F$5</c:f>
              <c:numCache>
                <c:formatCode>0.00</c:formatCode>
                <c:ptCount val="4"/>
                <c:pt idx="0">
                  <c:v>1.18609504312568</c:v>
                </c:pt>
                <c:pt idx="1">
                  <c:v>1.1378512175541855</c:v>
                </c:pt>
                <c:pt idx="2">
                  <c:v>1.1104441282645261</c:v>
                </c:pt>
                <c:pt idx="3">
                  <c:v>1.0960232116100408</c:v>
                </c:pt>
              </c:numCache>
            </c:numRef>
          </c:val>
        </c:ser>
        <c:ser>
          <c:idx val="1"/>
          <c:order val="1"/>
          <c:tx>
            <c:strRef>
              <c:f>Лист1!$B$6</c:f>
              <c:strCache>
                <c:ptCount val="1"/>
                <c:pt idx="0">
                  <c:v>Москва</c:v>
                </c:pt>
              </c:strCache>
            </c:strRef>
          </c:tx>
          <c:marker>
            <c:symbol val="circle"/>
            <c:size val="15"/>
          </c:marker>
          <c:dLbls>
            <c:txPr>
              <a:bodyPr/>
              <a:lstStyle/>
              <a:p>
                <a:pPr>
                  <a:defRPr b="1"/>
                </a:pPr>
                <a:endParaRPr lang="ru-RU"/>
              </a:p>
            </c:txPr>
            <c:dLblPos val="ctr"/>
            <c:showVal val="1"/>
          </c:dLbls>
          <c:cat>
            <c:numRef>
              <c:f>Лист1!$C$1:$F$1</c:f>
              <c:numCache>
                <c:formatCode>General</c:formatCode>
                <c:ptCount val="4"/>
                <c:pt idx="0">
                  <c:v>2008</c:v>
                </c:pt>
                <c:pt idx="1">
                  <c:v>2009</c:v>
                </c:pt>
                <c:pt idx="2">
                  <c:v>2010</c:v>
                </c:pt>
                <c:pt idx="3">
                  <c:v>2011</c:v>
                </c:pt>
              </c:numCache>
            </c:numRef>
          </c:cat>
          <c:val>
            <c:numRef>
              <c:f>Лист1!$C$6:$F$6</c:f>
              <c:numCache>
                <c:formatCode>0.00</c:formatCode>
                <c:ptCount val="4"/>
                <c:pt idx="0">
                  <c:v>1.200259649122807</c:v>
                </c:pt>
                <c:pt idx="1">
                  <c:v>1.2599203681074831</c:v>
                </c:pt>
                <c:pt idx="2">
                  <c:v>1.0189890158845059</c:v>
                </c:pt>
                <c:pt idx="3">
                  <c:v>1.0554067900812898</c:v>
                </c:pt>
              </c:numCache>
            </c:numRef>
          </c:val>
        </c:ser>
        <c:ser>
          <c:idx val="2"/>
          <c:order val="2"/>
          <c:tx>
            <c:strRef>
              <c:f>Лист1!$B$7</c:f>
              <c:strCache>
                <c:ptCount val="1"/>
                <c:pt idx="0">
                  <c:v>Тюмень</c:v>
                </c:pt>
              </c:strCache>
            </c:strRef>
          </c:tx>
          <c:marker>
            <c:symbol val="circle"/>
            <c:size val="15"/>
          </c:marker>
          <c:dLbls>
            <c:txPr>
              <a:bodyPr/>
              <a:lstStyle/>
              <a:p>
                <a:pPr>
                  <a:defRPr b="1"/>
                </a:pPr>
                <a:endParaRPr lang="ru-RU"/>
              </a:p>
            </c:txPr>
            <c:dLblPos val="ctr"/>
            <c:showVal val="1"/>
          </c:dLbls>
          <c:cat>
            <c:numRef>
              <c:f>Лист1!$C$1:$F$1</c:f>
              <c:numCache>
                <c:formatCode>General</c:formatCode>
                <c:ptCount val="4"/>
                <c:pt idx="0">
                  <c:v>2008</c:v>
                </c:pt>
                <c:pt idx="1">
                  <c:v>2009</c:v>
                </c:pt>
                <c:pt idx="2">
                  <c:v>2010</c:v>
                </c:pt>
                <c:pt idx="3">
                  <c:v>2011</c:v>
                </c:pt>
              </c:numCache>
            </c:numRef>
          </c:cat>
          <c:val>
            <c:numRef>
              <c:f>Лист1!$C$7:$F$7</c:f>
              <c:numCache>
                <c:formatCode>0.00</c:formatCode>
                <c:ptCount val="4"/>
                <c:pt idx="0">
                  <c:v>1.2523620847302661</c:v>
                </c:pt>
                <c:pt idx="1">
                  <c:v>1.0451001865822991</c:v>
                </c:pt>
                <c:pt idx="2">
                  <c:v>1.1044442460771784</c:v>
                </c:pt>
                <c:pt idx="3">
                  <c:v>1.1165618301296694</c:v>
                </c:pt>
              </c:numCache>
            </c:numRef>
          </c:val>
        </c:ser>
        <c:marker val="1"/>
        <c:axId val="66275584"/>
        <c:axId val="69959680"/>
      </c:lineChart>
      <c:catAx>
        <c:axId val="66275584"/>
        <c:scaling>
          <c:orientation val="minMax"/>
        </c:scaling>
        <c:axPos val="b"/>
        <c:numFmt formatCode="General" sourceLinked="1"/>
        <c:tickLblPos val="nextTo"/>
        <c:crossAx val="69959680"/>
        <c:crosses val="autoZero"/>
        <c:auto val="1"/>
        <c:lblAlgn val="ctr"/>
        <c:lblOffset val="100"/>
      </c:catAx>
      <c:valAx>
        <c:axId val="69959680"/>
        <c:scaling>
          <c:orientation val="minMax"/>
          <c:min val="0.95000000000000062"/>
        </c:scaling>
        <c:delete val="1"/>
        <c:axPos val="l"/>
        <c:numFmt formatCode="0.00" sourceLinked="1"/>
        <c:tickLblPos val="none"/>
        <c:crossAx val="66275584"/>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11"/>
  <c:chart>
    <c:autoTitleDeleted val="1"/>
    <c:plotArea>
      <c:layout>
        <c:manualLayout>
          <c:layoutTarget val="inner"/>
          <c:xMode val="edge"/>
          <c:yMode val="edge"/>
          <c:x val="9.4841192480491068E-2"/>
          <c:y val="3.2784699380931814E-2"/>
          <c:w val="0.87280726242218143"/>
          <c:h val="0.76310012029746277"/>
        </c:manualLayout>
      </c:layout>
      <c:lineChart>
        <c:grouping val="standard"/>
        <c:ser>
          <c:idx val="1"/>
          <c:order val="0"/>
          <c:tx>
            <c:strRef>
              <c:f>Динамика!$F$1</c:f>
              <c:strCache>
                <c:ptCount val="1"/>
                <c:pt idx="0">
                  <c:v>Первичный рынок</c:v>
                </c:pt>
              </c:strCache>
            </c:strRef>
          </c:tx>
          <c:spPr>
            <a:ln w="25400"/>
          </c:spPr>
          <c:marker>
            <c:symbol val="circle"/>
            <c:size val="4"/>
          </c:marker>
          <c:dLbls>
            <c:delete val="1"/>
          </c:dLbls>
          <c:cat>
            <c:numRef>
              <c:f>Динамика!$F$14:$F$106</c:f>
              <c:numCache>
                <c:formatCode>mmm/yy</c:formatCode>
                <c:ptCount val="93"/>
                <c:pt idx="0">
                  <c:v>38322</c:v>
                </c:pt>
                <c:pt idx="1">
                  <c:v>38353.200497685175</c:v>
                </c:pt>
                <c:pt idx="2">
                  <c:v>38384.200497685175</c:v>
                </c:pt>
                <c:pt idx="3">
                  <c:v>38412</c:v>
                </c:pt>
                <c:pt idx="4">
                  <c:v>38443</c:v>
                </c:pt>
                <c:pt idx="5">
                  <c:v>38473</c:v>
                </c:pt>
                <c:pt idx="6">
                  <c:v>38504</c:v>
                </c:pt>
                <c:pt idx="7">
                  <c:v>38534</c:v>
                </c:pt>
                <c:pt idx="8">
                  <c:v>38565</c:v>
                </c:pt>
                <c:pt idx="9">
                  <c:v>38596</c:v>
                </c:pt>
                <c:pt idx="10">
                  <c:v>38626</c:v>
                </c:pt>
                <c:pt idx="11">
                  <c:v>38657</c:v>
                </c:pt>
                <c:pt idx="12">
                  <c:v>38687</c:v>
                </c:pt>
                <c:pt idx="13">
                  <c:v>38718</c:v>
                </c:pt>
                <c:pt idx="14">
                  <c:v>38749</c:v>
                </c:pt>
                <c:pt idx="15">
                  <c:v>38777</c:v>
                </c:pt>
                <c:pt idx="16">
                  <c:v>38808</c:v>
                </c:pt>
                <c:pt idx="17">
                  <c:v>38838</c:v>
                </c:pt>
                <c:pt idx="18">
                  <c:v>38869</c:v>
                </c:pt>
                <c:pt idx="19">
                  <c:v>38899</c:v>
                </c:pt>
                <c:pt idx="20">
                  <c:v>38931</c:v>
                </c:pt>
                <c:pt idx="21">
                  <c:v>38963</c:v>
                </c:pt>
                <c:pt idx="22">
                  <c:v>38991</c:v>
                </c:pt>
                <c:pt idx="23">
                  <c:v>39022</c:v>
                </c:pt>
                <c:pt idx="24">
                  <c:v>39052</c:v>
                </c:pt>
                <c:pt idx="25">
                  <c:v>39083</c:v>
                </c:pt>
                <c:pt idx="26">
                  <c:v>39114</c:v>
                </c:pt>
                <c:pt idx="27">
                  <c:v>39144</c:v>
                </c:pt>
                <c:pt idx="28">
                  <c:v>39176</c:v>
                </c:pt>
                <c:pt idx="29">
                  <c:v>39207</c:v>
                </c:pt>
                <c:pt idx="30">
                  <c:v>39239</c:v>
                </c:pt>
                <c:pt idx="31">
                  <c:v>39270</c:v>
                </c:pt>
                <c:pt idx="32">
                  <c:v>39302</c:v>
                </c:pt>
                <c:pt idx="33">
                  <c:v>39334</c:v>
                </c:pt>
                <c:pt idx="34">
                  <c:v>39365</c:v>
                </c:pt>
                <c:pt idx="35">
                  <c:v>39397</c:v>
                </c:pt>
                <c:pt idx="36">
                  <c:v>39428</c:v>
                </c:pt>
                <c:pt idx="37">
                  <c:v>39459</c:v>
                </c:pt>
                <c:pt idx="38">
                  <c:v>39491</c:v>
                </c:pt>
                <c:pt idx="39">
                  <c:v>39521</c:v>
                </c:pt>
                <c:pt idx="40">
                  <c:v>39551</c:v>
                </c:pt>
                <c:pt idx="41">
                  <c:v>39581</c:v>
                </c:pt>
                <c:pt idx="42">
                  <c:v>39612</c:v>
                </c:pt>
                <c:pt idx="43">
                  <c:v>39642</c:v>
                </c:pt>
                <c:pt idx="44">
                  <c:v>39673</c:v>
                </c:pt>
                <c:pt idx="45">
                  <c:v>39704</c:v>
                </c:pt>
                <c:pt idx="46">
                  <c:v>39734</c:v>
                </c:pt>
                <c:pt idx="47">
                  <c:v>39765</c:v>
                </c:pt>
                <c:pt idx="48">
                  <c:v>39795</c:v>
                </c:pt>
                <c:pt idx="49">
                  <c:v>39826</c:v>
                </c:pt>
                <c:pt idx="50">
                  <c:v>39857</c:v>
                </c:pt>
                <c:pt idx="51">
                  <c:v>39885</c:v>
                </c:pt>
                <c:pt idx="52">
                  <c:v>39916</c:v>
                </c:pt>
                <c:pt idx="53">
                  <c:v>39934</c:v>
                </c:pt>
                <c:pt idx="54">
                  <c:v>39965</c:v>
                </c:pt>
                <c:pt idx="55">
                  <c:v>39995</c:v>
                </c:pt>
                <c:pt idx="56">
                  <c:v>40026</c:v>
                </c:pt>
                <c:pt idx="57">
                  <c:v>40057</c:v>
                </c:pt>
                <c:pt idx="58">
                  <c:v>40087</c:v>
                </c:pt>
                <c:pt idx="59">
                  <c:v>40118</c:v>
                </c:pt>
                <c:pt idx="60">
                  <c:v>40148</c:v>
                </c:pt>
                <c:pt idx="61">
                  <c:v>40179</c:v>
                </c:pt>
                <c:pt idx="62">
                  <c:v>40210</c:v>
                </c:pt>
                <c:pt idx="63">
                  <c:v>40238</c:v>
                </c:pt>
                <c:pt idx="64">
                  <c:v>40269</c:v>
                </c:pt>
                <c:pt idx="65">
                  <c:v>40299</c:v>
                </c:pt>
                <c:pt idx="66">
                  <c:v>40330</c:v>
                </c:pt>
                <c:pt idx="67">
                  <c:v>40360</c:v>
                </c:pt>
                <c:pt idx="68">
                  <c:v>40391</c:v>
                </c:pt>
                <c:pt idx="69">
                  <c:v>40422</c:v>
                </c:pt>
                <c:pt idx="70">
                  <c:v>40452</c:v>
                </c:pt>
                <c:pt idx="71">
                  <c:v>40483</c:v>
                </c:pt>
                <c:pt idx="72">
                  <c:v>40513</c:v>
                </c:pt>
                <c:pt idx="73">
                  <c:v>40544</c:v>
                </c:pt>
                <c:pt idx="74">
                  <c:v>40575</c:v>
                </c:pt>
                <c:pt idx="75">
                  <c:v>40603</c:v>
                </c:pt>
                <c:pt idx="76">
                  <c:v>40634</c:v>
                </c:pt>
                <c:pt idx="77">
                  <c:v>40664</c:v>
                </c:pt>
                <c:pt idx="78">
                  <c:v>40695</c:v>
                </c:pt>
                <c:pt idx="79">
                  <c:v>40725</c:v>
                </c:pt>
                <c:pt idx="80">
                  <c:v>40756</c:v>
                </c:pt>
                <c:pt idx="81">
                  <c:v>40787</c:v>
                </c:pt>
                <c:pt idx="82">
                  <c:v>40817</c:v>
                </c:pt>
                <c:pt idx="83">
                  <c:v>40848</c:v>
                </c:pt>
                <c:pt idx="84">
                  <c:v>40878</c:v>
                </c:pt>
                <c:pt idx="85">
                  <c:v>40909</c:v>
                </c:pt>
                <c:pt idx="86">
                  <c:v>40940</c:v>
                </c:pt>
                <c:pt idx="87">
                  <c:v>40969</c:v>
                </c:pt>
                <c:pt idx="88">
                  <c:v>41000</c:v>
                </c:pt>
                <c:pt idx="89">
                  <c:v>41030</c:v>
                </c:pt>
                <c:pt idx="90">
                  <c:v>41061</c:v>
                </c:pt>
                <c:pt idx="91">
                  <c:v>41091</c:v>
                </c:pt>
                <c:pt idx="92">
                  <c:v>41122</c:v>
                </c:pt>
              </c:numCache>
            </c:numRef>
          </c:cat>
          <c:val>
            <c:numRef>
              <c:f>Динамика!$G$14:$G$106</c:f>
              <c:numCache>
                <c:formatCode>#,##0</c:formatCode>
                <c:ptCount val="93"/>
                <c:pt idx="0">
                  <c:v>17439</c:v>
                </c:pt>
                <c:pt idx="1">
                  <c:v>17744</c:v>
                </c:pt>
                <c:pt idx="2">
                  <c:v>18732</c:v>
                </c:pt>
                <c:pt idx="3">
                  <c:v>19063.285384136703</c:v>
                </c:pt>
                <c:pt idx="4">
                  <c:v>19138.751536911146</c:v>
                </c:pt>
                <c:pt idx="5">
                  <c:v>19048.898474251026</c:v>
                </c:pt>
                <c:pt idx="6">
                  <c:v>20024.217525604901</c:v>
                </c:pt>
                <c:pt idx="7">
                  <c:v>20161.173518602944</c:v>
                </c:pt>
                <c:pt idx="8">
                  <c:v>20076</c:v>
                </c:pt>
                <c:pt idx="9">
                  <c:v>20135</c:v>
                </c:pt>
                <c:pt idx="10">
                  <c:v>20322</c:v>
                </c:pt>
                <c:pt idx="11">
                  <c:v>20497</c:v>
                </c:pt>
                <c:pt idx="12">
                  <c:v>20880</c:v>
                </c:pt>
                <c:pt idx="13">
                  <c:v>22467.3616202091</c:v>
                </c:pt>
                <c:pt idx="14">
                  <c:v>23380.362082240517</c:v>
                </c:pt>
                <c:pt idx="15">
                  <c:v>23757</c:v>
                </c:pt>
                <c:pt idx="16">
                  <c:v>24336.796108378756</c:v>
                </c:pt>
                <c:pt idx="17">
                  <c:v>26112</c:v>
                </c:pt>
                <c:pt idx="18">
                  <c:v>26206.486940809926</c:v>
                </c:pt>
                <c:pt idx="19">
                  <c:v>26383.642688550186</c:v>
                </c:pt>
                <c:pt idx="20">
                  <c:v>28691</c:v>
                </c:pt>
                <c:pt idx="21">
                  <c:v>29793</c:v>
                </c:pt>
                <c:pt idx="22">
                  <c:v>31734</c:v>
                </c:pt>
                <c:pt idx="23">
                  <c:v>32624</c:v>
                </c:pt>
                <c:pt idx="24">
                  <c:v>34940</c:v>
                </c:pt>
                <c:pt idx="25">
                  <c:v>36297</c:v>
                </c:pt>
                <c:pt idx="26">
                  <c:v>37043.827515052559</c:v>
                </c:pt>
                <c:pt idx="27">
                  <c:v>40537</c:v>
                </c:pt>
                <c:pt idx="28">
                  <c:v>40741</c:v>
                </c:pt>
                <c:pt idx="29">
                  <c:v>40741</c:v>
                </c:pt>
                <c:pt idx="30">
                  <c:v>41582.477755261454</c:v>
                </c:pt>
                <c:pt idx="31">
                  <c:v>41576</c:v>
                </c:pt>
                <c:pt idx="32">
                  <c:v>41234</c:v>
                </c:pt>
                <c:pt idx="33">
                  <c:v>42818.19993751897</c:v>
                </c:pt>
                <c:pt idx="34">
                  <c:v>42954</c:v>
                </c:pt>
                <c:pt idx="35">
                  <c:v>43705</c:v>
                </c:pt>
                <c:pt idx="36">
                  <c:v>43922</c:v>
                </c:pt>
                <c:pt idx="37">
                  <c:v>44254</c:v>
                </c:pt>
                <c:pt idx="38">
                  <c:v>44327</c:v>
                </c:pt>
                <c:pt idx="39">
                  <c:v>44896.021721610996</c:v>
                </c:pt>
                <c:pt idx="40">
                  <c:v>46384.272581406913</c:v>
                </c:pt>
                <c:pt idx="41">
                  <c:v>46422.215118992222</c:v>
                </c:pt>
                <c:pt idx="42">
                  <c:v>46082</c:v>
                </c:pt>
                <c:pt idx="43">
                  <c:v>45663.854079458244</c:v>
                </c:pt>
                <c:pt idx="44">
                  <c:v>45995.574008964191</c:v>
                </c:pt>
                <c:pt idx="45">
                  <c:v>46248.116827530997</c:v>
                </c:pt>
                <c:pt idx="46">
                  <c:v>45700</c:v>
                </c:pt>
                <c:pt idx="47">
                  <c:v>45195</c:v>
                </c:pt>
                <c:pt idx="48">
                  <c:v>44250</c:v>
                </c:pt>
                <c:pt idx="49">
                  <c:v>42790</c:v>
                </c:pt>
                <c:pt idx="50">
                  <c:v>42413</c:v>
                </c:pt>
                <c:pt idx="51">
                  <c:v>41795</c:v>
                </c:pt>
                <c:pt idx="52">
                  <c:v>41566</c:v>
                </c:pt>
                <c:pt idx="53">
                  <c:v>41578</c:v>
                </c:pt>
                <c:pt idx="54">
                  <c:v>40720.566663308753</c:v>
                </c:pt>
                <c:pt idx="55">
                  <c:v>40665.210600137005</c:v>
                </c:pt>
                <c:pt idx="56">
                  <c:v>41061</c:v>
                </c:pt>
                <c:pt idx="57">
                  <c:v>40150.826576178297</c:v>
                </c:pt>
                <c:pt idx="58">
                  <c:v>40469</c:v>
                </c:pt>
                <c:pt idx="59">
                  <c:v>40897</c:v>
                </c:pt>
                <c:pt idx="60">
                  <c:v>40583</c:v>
                </c:pt>
                <c:pt idx="61">
                  <c:v>40718</c:v>
                </c:pt>
                <c:pt idx="62">
                  <c:v>40934</c:v>
                </c:pt>
                <c:pt idx="63">
                  <c:v>40028</c:v>
                </c:pt>
                <c:pt idx="64">
                  <c:v>40182</c:v>
                </c:pt>
                <c:pt idx="65">
                  <c:v>40685</c:v>
                </c:pt>
                <c:pt idx="66">
                  <c:v>40373</c:v>
                </c:pt>
                <c:pt idx="67">
                  <c:v>40666</c:v>
                </c:pt>
                <c:pt idx="68">
                  <c:v>40830</c:v>
                </c:pt>
                <c:pt idx="69">
                  <c:v>40321.834608183257</c:v>
                </c:pt>
                <c:pt idx="70">
                  <c:v>40900</c:v>
                </c:pt>
                <c:pt idx="71">
                  <c:v>41528</c:v>
                </c:pt>
                <c:pt idx="72">
                  <c:v>42234</c:v>
                </c:pt>
                <c:pt idx="73">
                  <c:v>42269</c:v>
                </c:pt>
                <c:pt idx="74">
                  <c:v>43660</c:v>
                </c:pt>
                <c:pt idx="75">
                  <c:v>43678</c:v>
                </c:pt>
                <c:pt idx="76">
                  <c:v>43938</c:v>
                </c:pt>
                <c:pt idx="77">
                  <c:v>45339</c:v>
                </c:pt>
                <c:pt idx="78">
                  <c:v>46107</c:v>
                </c:pt>
                <c:pt idx="79">
                  <c:v>46112</c:v>
                </c:pt>
                <c:pt idx="80">
                  <c:v>46719</c:v>
                </c:pt>
                <c:pt idx="81">
                  <c:v>47845.252099502519</c:v>
                </c:pt>
                <c:pt idx="82">
                  <c:v>48456</c:v>
                </c:pt>
                <c:pt idx="83">
                  <c:v>49451.5</c:v>
                </c:pt>
                <c:pt idx="84">
                  <c:v>50447</c:v>
                </c:pt>
                <c:pt idx="85">
                  <c:v>51355.046000000002</c:v>
                </c:pt>
                <c:pt idx="86">
                  <c:v>51868.596459999993</c:v>
                </c:pt>
                <c:pt idx="87">
                  <c:v>51958</c:v>
                </c:pt>
                <c:pt idx="88">
                  <c:v>53126</c:v>
                </c:pt>
                <c:pt idx="89">
                  <c:v>55022</c:v>
                </c:pt>
                <c:pt idx="90">
                  <c:v>55208</c:v>
                </c:pt>
                <c:pt idx="91">
                  <c:v>55354</c:v>
                </c:pt>
                <c:pt idx="92">
                  <c:v>56300</c:v>
                </c:pt>
              </c:numCache>
            </c:numRef>
          </c:val>
        </c:ser>
        <c:dLbls>
          <c:showVal val="1"/>
        </c:dLbls>
        <c:marker val="1"/>
        <c:axId val="79581184"/>
        <c:axId val="79582720"/>
      </c:lineChart>
      <c:dateAx>
        <c:axId val="79581184"/>
        <c:scaling>
          <c:orientation val="minMax"/>
        </c:scaling>
        <c:axPos val="b"/>
        <c:numFmt formatCode="mmm/yy" sourceLinked="0"/>
        <c:majorTickMark val="none"/>
        <c:tickLblPos val="nextTo"/>
        <c:txPr>
          <a:bodyPr/>
          <a:lstStyle/>
          <a:p>
            <a:pPr>
              <a:defRPr sz="600"/>
            </a:pPr>
            <a:endParaRPr lang="ru-RU"/>
          </a:p>
        </c:txPr>
        <c:crossAx val="79582720"/>
        <c:crosses val="autoZero"/>
        <c:auto val="1"/>
        <c:lblOffset val="100"/>
        <c:majorUnit val="1"/>
        <c:majorTimeUnit val="months"/>
      </c:dateAx>
      <c:valAx>
        <c:axId val="79582720"/>
        <c:scaling>
          <c:orientation val="minMax"/>
          <c:min val="10000"/>
        </c:scaling>
        <c:axPos val="l"/>
        <c:numFmt formatCode="#,##0" sourceLinked="1"/>
        <c:tickLblPos val="nextTo"/>
        <c:crossAx val="79581184"/>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7ACB6-1E2F-4D90-B79A-937F687E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Poltoranina</dc:creator>
  <cp:lastModifiedBy>troshina</cp:lastModifiedBy>
  <cp:revision>4</cp:revision>
  <dcterms:created xsi:type="dcterms:W3CDTF">2013-03-19T04:24:00Z</dcterms:created>
  <dcterms:modified xsi:type="dcterms:W3CDTF">2013-03-19T04:38:00Z</dcterms:modified>
</cp:coreProperties>
</file>