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D4" w:rsidRPr="005807C1" w:rsidRDefault="001448D4" w:rsidP="001448D4">
      <w:pPr>
        <w:rPr>
          <w:b/>
          <w:bCs/>
          <w:sz w:val="24"/>
        </w:rPr>
      </w:pPr>
      <w:r w:rsidRPr="005807C1">
        <w:rPr>
          <w:b/>
          <w:bCs/>
          <w:sz w:val="24"/>
        </w:rPr>
        <w:t xml:space="preserve">Тест Услуги брокерские  </w:t>
      </w:r>
    </w:p>
    <w:tbl>
      <w:tblPr>
        <w:tblW w:w="16059" w:type="dxa"/>
        <w:tblInd w:w="-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67"/>
        <w:gridCol w:w="3939"/>
        <w:gridCol w:w="8553"/>
      </w:tblGrid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кредита у клиента в обязательном порядке должно быть:  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наличие официального трудоустройства: трудовая книжка, заверенная работодателем, либо трудовой договор, 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наличие общего трудового стажа 1 год, и на последнем месте работы не менее 3 месяцев, 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справка, подтверждающая доход заемщика, 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документы, удостоверяющие личность,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отсутствие негативной кредитной истории, 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уголовного прошлого,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ответы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с),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h)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ответы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Гарантирует ли клиенту предоставление кредита расчет </w:t>
            </w: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gramEnd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с помощью кредитного калькулятора банка на сайте? 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before="120" w:after="0" w:line="240" w:lineRule="auto"/>
              <w:ind w:left="9" w:right="-8" w:hanging="35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 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да,</w:t>
            </w:r>
          </w:p>
          <w:p w:rsidR="001448D4" w:rsidRPr="005807C1" w:rsidRDefault="001448D4" w:rsidP="001448D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0" w:line="240" w:lineRule="auto"/>
              <w:ind w:left="9" w:right="-8" w:hanging="35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от Ипотечного Брокера Банк рассматривает Клиентов с доходами, подтвержденными в следующей форме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ind w:left="6"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справка по форме  банка,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ind w:left="6"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2 НДФЛ,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ind w:left="6"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с) расписка от Клиента 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Заемщики, которые не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подтвердить доход по справке 2 НДФЛ полностью, но которые могут представить письмо от работодателя – предоставляют в итоге обязательно: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snapToGrid w:val="0"/>
              <w:spacing w:after="0" w:line="240" w:lineRule="auto"/>
              <w:ind w:left="6"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справка по форме  банка,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ind w:left="6"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НДФЛ,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ind w:left="6"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</w:pP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Квартира,   закладываемая Банку по кредиту «на покупку КВАРТИРЫ» должна: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ind w:left="9" w:right="-8" w:hanging="95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       т  а) соответствовать желаниям Клиента,</w:t>
            </w:r>
          </w:p>
          <w:p w:rsidR="001448D4" w:rsidRPr="005807C1" w:rsidRDefault="001448D4" w:rsidP="001448D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9" w:right="-8" w:hanging="95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соответствовать требованиям банка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Оценка квартиры  по кредитам Банка проводится: 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любой оценочной компанией, выбранной Клиентом,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оценочными компаниями, входящими в банковскую структуру,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с) независимыми оценочными компаниями, аккредитованными при Банке.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Какие формы расчетов с продавцами жилья НЕ используются в рамках программ ипотечного кредитования?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наличный расчет через ячейку,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безналичный расчет, 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векселями,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аккредитив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Если Банку стало известно о том, что ИБ помогает своему клиенту ввести Банк в заблуждение относительно истинной кредитоспособности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клиента, то: 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наступает уголовная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наступает административная ответственность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ли кредитование заемщиков в Ярославле под залог недвижимости, расположенной в Новосибирской области?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а) нет,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да, при наличии филиала в Новосибирске, 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с) возможно.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приобретения квартиры солидарными заемщиками супругами, право собственности оформляется: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ind w:left="-75" w:right="-8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либо на одного из супругов, 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ind w:left="-75" w:right="-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на обоих,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ind w:left="-75" w:right="-8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ответы а) и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верны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Если Заемщик состоит в браке, то требуется ли предоставление документов по супругу? 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нет,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да, 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с) нет, если имеется брачный договор,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ответы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и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верны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ли осуществлять перепланировку в квартире, приобретенную с использованием ипотечного кредита? 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только с согласия банка,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возможно,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возможно только после погашения ипотечного кредита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Каким образом производится оплата первоначального взноса по кредиту?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оплата первоначального взноса по кредиту производится путем передачи денежных  средств банку,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оплата первоначального взноса по кредиту производится путем передачи денежных  средств продавцу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9355"/>
              </w:tabs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действующего кредита в банке, возможно ли оформление второго кредита? 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tabs>
                <w:tab w:val="left" w:pos="9355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a) </w:t>
            </w:r>
            <w:proofErr w:type="spell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возможно</w:t>
            </w:r>
            <w:proofErr w:type="spellEnd"/>
          </w:p>
          <w:p w:rsidR="001448D4" w:rsidRPr="005807C1" w:rsidRDefault="001448D4" w:rsidP="001448D4">
            <w:pPr>
              <w:tabs>
                <w:tab w:val="lef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proofErr w:type="spell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возможно</w:t>
            </w:r>
            <w:proofErr w:type="spellEnd"/>
          </w:p>
          <w:p w:rsidR="001448D4" w:rsidRPr="005807C1" w:rsidRDefault="001448D4" w:rsidP="001448D4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ли купить в кредит 2-х комнатную коммунальную квартиру путем приобретения в ней двух комнат от разных владельцев? 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tabs>
                <w:tab w:val="left" w:pos="9355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a) </w:t>
            </w:r>
            <w:proofErr w:type="spell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возможно</w:t>
            </w:r>
            <w:proofErr w:type="spellEnd"/>
          </w:p>
          <w:p w:rsidR="001448D4" w:rsidRPr="005807C1" w:rsidRDefault="001448D4" w:rsidP="001448D4">
            <w:pPr>
              <w:tabs>
                <w:tab w:val="lef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proofErr w:type="spell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возможно</w:t>
            </w:r>
            <w:proofErr w:type="spellEnd"/>
          </w:p>
          <w:p w:rsidR="001448D4" w:rsidRPr="005807C1" w:rsidRDefault="001448D4" w:rsidP="001448D4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Кем проводится оценка приобретаемого в кредит жилья?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риэлтором,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специалистом оценочной </w:t>
            </w:r>
            <w:proofErr w:type="spell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компаниии</w:t>
            </w:r>
            <w:proofErr w:type="spellEnd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специалистом банка</w:t>
            </w:r>
          </w:p>
        </w:tc>
        <w:tc>
          <w:tcPr>
            <w:tcW w:w="8553" w:type="dxa"/>
            <w:hideMark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ли вносить на текущий счет клиента при обслуживании кредита сумму большую, чем ежемесячный платеж?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before="120" w:after="0" w:line="240" w:lineRule="auto"/>
              <w:ind w:firstLine="25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От чего зависит максимально одобряемая сумма кредита?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от благонадежности клиента,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от доходов заемщика и </w:t>
            </w:r>
            <w:proofErr w:type="spell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созаемщиков</w:t>
            </w:r>
            <w:proofErr w:type="spellEnd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с) только от доходов </w:t>
            </w:r>
            <w:proofErr w:type="spell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созаемщиков</w:t>
            </w:r>
            <w:proofErr w:type="spellEnd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8553" w:type="dxa"/>
          </w:tcPr>
          <w:p w:rsidR="001448D4" w:rsidRPr="005807C1" w:rsidRDefault="001448D4" w:rsidP="001448D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На каких правах остается у залогодателя имущество, переданное в ипотеку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ind w:left="175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владения и пользования,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) распоряжения, владения и пользования</w:t>
            </w:r>
          </w:p>
        </w:tc>
        <w:tc>
          <w:tcPr>
            <w:tcW w:w="8553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1. Основания возникновения ипотеки и ее регулирование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      </w:r>
          </w:p>
          <w:p w:rsidR="001448D4" w:rsidRDefault="001448D4" w:rsidP="005807C1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      </w:r>
          </w:p>
          <w:p w:rsidR="005807C1" w:rsidRPr="005807C1" w:rsidRDefault="005807C1" w:rsidP="005807C1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Имущество, на которое установлена ипотека, остается у залогодателя в его владении и пользовании.</w:t>
            </w: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Может ли являться третье лицо залогодателям по обязательствам должника?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может,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) НЕ может</w:t>
            </w:r>
          </w:p>
        </w:tc>
        <w:tc>
          <w:tcPr>
            <w:tcW w:w="8553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1. Основания возникновения ипотеки и ее регулирование</w:t>
            </w:r>
          </w:p>
          <w:p w:rsidR="001448D4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      </w:r>
          </w:p>
          <w:p w:rsidR="001448D4" w:rsidRPr="005807C1" w:rsidRDefault="005807C1" w:rsidP="005807C1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      </w: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Какая форма предусмотрена для договора ипотеки?                           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а) письменная форма,</w:t>
            </w:r>
          </w:p>
          <w:p w:rsidR="001448D4" w:rsidRPr="005807C1" w:rsidRDefault="001448D4" w:rsidP="0014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письменная форма с обязательной государственной регистрацией,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обязательная нотариальная форма</w:t>
            </w:r>
          </w:p>
        </w:tc>
        <w:tc>
          <w:tcPr>
            <w:tcW w:w="8553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8. Общие правила заключения договора об ипотеке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ипотеке заключается с соблюдением общих правил Гражданского </w:t>
            </w:r>
            <w:hyperlink r:id="rId6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кодекса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заключении договоров, а также положений настоящего Федерального закона.</w:t>
            </w:r>
          </w:p>
          <w:p w:rsidR="001448D4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 Государственная регистрация договора об ипотеке</w:t>
            </w:r>
          </w:p>
          <w:p w:rsidR="005807C1" w:rsidRPr="005807C1" w:rsidRDefault="005807C1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1. Договор об ипотеке заключается в письменной форме и подлежит государственной регистрации.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Договор, в котором отсутствуют какие-либо данные, указанные в </w:t>
            </w:r>
            <w:hyperlink r:id="rId7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 9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или нарушены правила пункта 4 </w:t>
            </w:r>
            <w:hyperlink r:id="rId8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статьи 13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не подлежит государственной регистрации в качестве договора об ипотеке.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о государственной регистрации договора об ипотеке влечет его недействительность. Такой договор считается ничтожным.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2. Договор об ипотеке считается заключенным и вступает в силу с момента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государственной регистрации.</w:t>
            </w: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Может ли являться право аренды предметом ипотеки?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может, с согласия арендодателя, если договором аренды или законом не предусмотрено иное,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) предметом ипотеки может быть только право собственности</w:t>
            </w: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6. Право отдавать имущество в залог по договору об ипотеке</w:t>
            </w:r>
          </w:p>
          <w:p w:rsidR="005807C1" w:rsidRPr="005807C1" w:rsidRDefault="005807C1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 Право аренды может быть предметом ипотеки с согласия арендодателя, если федеральным законом или договором аренды не предусмотрено иное. В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пунктом 3 </w:t>
            </w:r>
            <w:hyperlink r:id="rId9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статьи 335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необходимо также согласие собственника арендованного имущества или лица, имеющего на него право хозяйственного ведения.</w:t>
            </w: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Может ли быть передано в ипотеку жилое помещение, принадлежащее на праве собственности недееспособному гражданину?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может, с согласия органов опеки и попечительства,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может</w:t>
            </w: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74. Применение правил об ипотеке жилых домов и квартир</w:t>
            </w:r>
          </w:p>
          <w:p w:rsidR="005807C1" w:rsidRPr="005807C1" w:rsidRDefault="005807C1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5. Ипотека жилого дома или квартиры, находящихся в собственности несовершеннолетних граждан, ограниченно дееспособных или недееспособных лиц, над которыми установлены опека или попечительство, осуществляется в порядке, установленном законодательством Российской Федерации для совершения сделок с имуществом подопечных.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ГК РФ Статья 37. Распоряжение имуществом подопечного</w:t>
            </w:r>
          </w:p>
          <w:p w:rsidR="001448D4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      </w:r>
          </w:p>
          <w:p w:rsidR="005807C1" w:rsidRPr="005807C1" w:rsidRDefault="005807C1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      </w:r>
            <w:proofErr w:type="gramEnd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имущества подопечного.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управления имуществом подопечного определяется Федеральным </w:t>
            </w:r>
            <w:hyperlink r:id="rId10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"Об опеке и попечительстве".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3. Опекун, попечитель, их супруги и близкие родственники не вправе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ФЗ «Об опеке и попечительстве» Статья 19. Распоряжение имуществом подопечных</w:t>
            </w:r>
          </w:p>
          <w:p w:rsidR="001448D4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Общие правила распоряжения имуществом подопечных устанавливаются Гражданским </w:t>
            </w:r>
            <w:hyperlink r:id="rId11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кодексом</w:t>
              </w:r>
            </w:hyperlink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Федерации.</w:t>
            </w:r>
          </w:p>
          <w:p w:rsidR="001448D4" w:rsidRPr="005807C1" w:rsidRDefault="005807C1" w:rsidP="005807C1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      </w: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В течение, какого срока производится погашение регистрационной записи об ипотеке органом, осуществляющим государственную регистрацию прав на недвижимое имущество и сделок с ним?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а) в течение месяца,</w:t>
            </w:r>
          </w:p>
          <w:p w:rsidR="001448D4" w:rsidRPr="005807C1" w:rsidRDefault="001448D4" w:rsidP="0014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) в течение 10 рабочих дней,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с) в течение 3-х рабочих дней</w:t>
            </w: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25. Погашение регистрационной записи об ипотеке</w:t>
            </w:r>
          </w:p>
          <w:p w:rsidR="005807C1" w:rsidRPr="005807C1" w:rsidRDefault="005807C1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</w:t>
            </w:r>
            <w:proofErr w:type="gramStart"/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орган, осуществляющий государственную регистрацию прав,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или</w:t>
            </w:r>
            <w:proofErr w:type="gramEnd"/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третейского суда о прекращении ипотеки.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Может ли залогодатель произвести  отчуждение имущества, заложенного по договору ипотеки?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может с согласия залогодержателя,</w:t>
            </w:r>
          </w:p>
          <w:p w:rsidR="001448D4" w:rsidRPr="005807C1" w:rsidRDefault="001448D4" w:rsidP="0014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исполнения обязательств по выплате кредита не может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37. Отчуждение заложенного имущества</w:t>
            </w:r>
          </w:p>
          <w:p w:rsidR="005807C1" w:rsidRPr="005807C1" w:rsidRDefault="005807C1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 Имущество, заложенное по договору об ипотеке, может быть отчуждено залогодателем другому лицу путем продажи, дарения, обмена,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залогодержателя, если иное не предусмотрено договором об ипотеке.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2. В случае выдачи закладной отчуждение заложенного имущества допускается, если право залогодателя на это предусмотрено в закладной, с соблюдением условий, которые в ней установлены.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Залогодатель вправе завещать заложенное имущество. Условия договора об ипотеке или иного соглашения, ограничивающие это право залогодателя, ничтожны.</w:t>
            </w: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Возможна ли ипотека земельного участка без расположенного на нем здания?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по общему правилу при ипотеке земельного участка право залога распространяется также на находящееся, на нем здание залогодателя,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) возможно без всяких условий</w:t>
            </w: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ФЗ «Об ипотеке» </w:t>
            </w:r>
            <w:r w:rsidRPr="0058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64. Ипотека земельного участка, на котором имеются здания или сооружения, принадлежащие залогодателю</w:t>
            </w:r>
          </w:p>
          <w:p w:rsidR="005807C1" w:rsidRPr="005807C1" w:rsidRDefault="005807C1" w:rsidP="001448D4">
            <w:pPr>
              <w:snapToGrid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1. </w:t>
            </w:r>
            <w:proofErr w:type="gramStart"/>
            <w:r w:rsidRPr="005807C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Если договором об ипотеке или договором, влекущим возникновение ипотеки в силу закона, не предусмотрено иное, при ипотеке земельного участка право залога распространяется также на находящиеся или строящиеся на земельном участке здание или сооружение залогодателя.</w:t>
            </w:r>
            <w:proofErr w:type="gramEnd"/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залогодателя распоряжаться такими зданием или сооружением, условия и последствия перехода прав на такие здание или сооружение к другим лицам определяются правилами </w:t>
            </w:r>
            <w:hyperlink r:id="rId12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главы VI</w:t>
              </w:r>
            </w:hyperlink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Федерального закона.</w:t>
            </w:r>
            <w:proofErr w:type="gramEnd"/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в договоре условия, предусматривающего, что находящиеся или строящиеся на земельном участке и принадлежащие залогодателю здание или сооружение не заложены тому же залогодержателю, залогодатель при обращении взыскания на земельный участок сохраняет право на такие здание или сооружение и приобретает право ограниченного пользования (сервитут) той частью земельного участка, которая необходима для использования таких здания или сооружения в соответствии с их</w:t>
            </w:r>
            <w:proofErr w:type="gramEnd"/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назначением. Условия пользования указанной частью земельного участка определяются соглашением между залогодателем и залогодержателем, а в случае спора - судом.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Залогодатель земельного участка вправе без согласия залогодержателя распоряжаться принадлежащими ему зданиями и сооружениями на этом участке, на которые в соответствии с </w:t>
            </w:r>
            <w:hyperlink r:id="rId13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пунктом 1</w:t>
              </w:r>
            </w:hyperlink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статьи право залога не распространяется.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отчуждении такого здания или сооружения другому лицу и отсутствии соглашения с залогодержателем об ином права, которые это лицо может приобрести на заложенный земельный участок, ограничиваются условиями, предусмотренными частью третьей </w:t>
            </w:r>
            <w:hyperlink r:id="rId14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 1</w:t>
              </w:r>
            </w:hyperlink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статьи.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на закладываемом земельном участке из состава земель сельскохозяйственного назначения находятся здания, строения, сооружения, в том числе возводимые на таком земельном участке, или иные прочно связанные с земельным участком объекты недвижимости, принадлежащие на том же праве </w:t>
            </w:r>
            <w:r w:rsidRPr="00580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собственнику такого земельного участка, ипотека такого земельного участка допускается только с одновременной ипотекой прочно связанных с ним объектов недвижимости.</w:t>
            </w:r>
            <w:proofErr w:type="gramEnd"/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Требуется ли получение согласия сособственников  для  определения доли каждого при оформлении ипотеки на имущество находящееся в общей совместной собственности?</w:t>
            </w:r>
          </w:p>
        </w:tc>
        <w:tc>
          <w:tcPr>
            <w:tcW w:w="3939" w:type="dxa"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требуется,</w:t>
            </w:r>
          </w:p>
          <w:p w:rsidR="001448D4" w:rsidRPr="005807C1" w:rsidRDefault="001448D4" w:rsidP="0014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7. Ипотека имущества, находящегося в общей собственности</w:t>
            </w:r>
          </w:p>
          <w:p w:rsidR="005807C1" w:rsidRPr="005807C1" w:rsidRDefault="005807C1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 На имущество, находящееся в общей совместной собственности (без определения доли каждого из собственников в праве собственности), ипотека может быть установлена при наличии согласия на это всех собственников. Согласие должно быть дано в письменной форме, если федеральным законом не установлено иное.</w:t>
            </w:r>
          </w:p>
          <w:p w:rsidR="001448D4" w:rsidRPr="005807C1" w:rsidRDefault="001448D4" w:rsidP="001448D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2. Участник общей долевой собственности может заложить свою долю в праве на общее имущество без согласия других собственников.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по требованию залогодержателя взыскания на эту долю при ее продаже применяются правила </w:t>
            </w:r>
            <w:hyperlink r:id="rId15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статей 250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255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о преимущественном праве покупки, принадлежащем остальным собственникам, и об обращении взыскания на долю в праве общей собственности, за исключением случаев обращения взыскания на долю в праве собственности на общее имущество жилого дома </w:t>
            </w:r>
            <w:hyperlink r:id="rId17" w:history="1">
              <w:r w:rsidRPr="00580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(статья 290</w:t>
              </w:r>
            </w:hyperlink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</w:t>
            </w:r>
            <w:proofErr w:type="gramEnd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Федерации) в связи с обращением взыскания на квартиру в этом доме.</w:t>
            </w:r>
            <w:proofErr w:type="gramEnd"/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Допускается ли обращение взыскания на заложенное имущество без обращения в суд?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а) не допускается, поскольку законом о залоге (ипотеке) это не предусмотрено</w:t>
            </w:r>
          </w:p>
          <w:p w:rsidR="001448D4" w:rsidRPr="005807C1" w:rsidRDefault="001448D4" w:rsidP="0014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) допускается при согласии залогодателя,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допускается</w:t>
            </w:r>
            <w:proofErr w:type="gramEnd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основании соглашения между залогодержателем и залогодателем при наличии нотариально удостоверенного согласия залогодателя на внесудебный порядок обращения взыскания на заложенное имущество.</w:t>
            </w: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ФЗ «Об ипотеке» Статья 51. Судебный порядок обращения взыскания на заложенное имущество</w:t>
            </w:r>
          </w:p>
          <w:p w:rsidR="005807C1" w:rsidRPr="005807C1" w:rsidRDefault="005807C1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Взыскание по требованиям залогодержателя обращается на имущество, заложенное по договору об ипотеке, по решению суда, за исключением случаев, когда в соответствии со статьей 55 настоящего Федерального закона допускается удовлетворение таких требований без обращения в суд.</w:t>
            </w:r>
          </w:p>
          <w:p w:rsidR="001448D4" w:rsidRDefault="001448D4" w:rsidP="00144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Статья 55. Обращение взыскания на заложенное имущество во внесудебном порядке</w:t>
            </w:r>
          </w:p>
          <w:p w:rsidR="005807C1" w:rsidRPr="005807C1" w:rsidRDefault="005807C1" w:rsidP="0014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 xml:space="preserve">1. Удовлетворение требований залогодержателя за счет имущества, заложенного по договору об ипотеке, без обращения в суд (во внесудебном порядке) допускается на основании соглашения между залогодержателем и залогодателем, которое может быть включено в договор об ипотеке или заключено в виде отдельного договора. Соглашение заключается при условии </w:t>
            </w: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нотариально удостоверенного согласия залогодателя на внесудебный порядок обращения взыскания на заложенное имущество. Такое согласие может быть дано до заключения договора об ипотеке.</w:t>
            </w:r>
          </w:p>
          <w:p w:rsidR="001448D4" w:rsidRPr="005807C1" w:rsidRDefault="001448D4" w:rsidP="001448D4">
            <w:pPr>
              <w:widowControl w:val="0"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</w:tr>
      <w:tr w:rsidR="001448D4" w:rsidRPr="005807C1" w:rsidTr="001448D4">
        <w:trPr>
          <w:trHeight w:val="414"/>
        </w:trPr>
        <w:tc>
          <w:tcPr>
            <w:tcW w:w="700" w:type="dxa"/>
            <w:hideMark/>
          </w:tcPr>
          <w:p w:rsidR="001448D4" w:rsidRPr="005807C1" w:rsidRDefault="001448D4" w:rsidP="001448D4">
            <w:pPr>
              <w:widowControl w:val="0"/>
              <w:tabs>
                <w:tab w:val="left" w:pos="473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67" w:type="dxa"/>
            <w:hideMark/>
          </w:tcPr>
          <w:p w:rsidR="001448D4" w:rsidRPr="005807C1" w:rsidRDefault="001448D4" w:rsidP="001448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Является ли обращение взыскание на заложенную квартиру основанием для прекращения права пользования ею залогодателем и проживающими с ним лицами?</w:t>
            </w:r>
          </w:p>
        </w:tc>
        <w:tc>
          <w:tcPr>
            <w:tcW w:w="3939" w:type="dxa"/>
            <w:hideMark/>
          </w:tcPr>
          <w:p w:rsidR="001448D4" w:rsidRPr="005807C1" w:rsidRDefault="001448D4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</w:rPr>
              <w:t>а) НЕ является,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</w:t>
            </w:r>
            <w:proofErr w:type="gramEnd"/>
            <w:r w:rsidRPr="00580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 условии, что квартира была заложена по договору об ипотеке либо по ипотеке в силу закона в обеспечение возврата кредита или целевого займа, предоставленных на приобретение или строительство квартиры.</w:t>
            </w:r>
          </w:p>
        </w:tc>
        <w:tc>
          <w:tcPr>
            <w:tcW w:w="8553" w:type="dxa"/>
            <w:hideMark/>
          </w:tcPr>
          <w:p w:rsidR="001448D4" w:rsidRDefault="001448D4" w:rsidP="001448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ФЗ «Об ипотеке» Статья 78. </w:t>
            </w:r>
            <w:proofErr w:type="gramStart"/>
            <w:r w:rsidRPr="005807C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взыскания на заложенные жилой дом или квартиру</w:t>
            </w:r>
            <w:proofErr w:type="gramEnd"/>
          </w:p>
          <w:p w:rsidR="005807C1" w:rsidRPr="005807C1" w:rsidRDefault="005807C1" w:rsidP="001448D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</w:t>
            </w:r>
            <w:proofErr w:type="gramStart"/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лиц, проживающих в таких жилом доме или квартире, при условии, что такие жилой дом или квартира были заложены по договору об ипотеке либо по ипотеке в силу закона в обеспечение возврата кредита или целевого займа, предоставленных</w:t>
            </w:r>
            <w:proofErr w:type="gramEnd"/>
            <w:r w:rsidRPr="005807C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банком или иной кредитной организацией либо другим юридическим лицом на приобретение или строительство таких или иных жилого дома или квартиры, их капитальный ремонт или иное неотделимое улучшение, а также на погашение ранее предоставленных кредита или займа на приобретение или строительство жилого дома или квартиры.</w:t>
            </w:r>
          </w:p>
          <w:p w:rsidR="001448D4" w:rsidRPr="005807C1" w:rsidRDefault="001448D4" w:rsidP="001448D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448D4" w:rsidRPr="005807C1" w:rsidRDefault="001448D4" w:rsidP="001448D4">
      <w:pPr>
        <w:rPr>
          <w:rFonts w:ascii="Arial" w:eastAsia="SimSun" w:hAnsi="Arial" w:cs="Mangal"/>
          <w:kern w:val="2"/>
          <w:sz w:val="20"/>
          <w:lang w:eastAsia="hi-IN" w:bidi="hi-IN"/>
        </w:rPr>
      </w:pPr>
    </w:p>
    <w:p w:rsidR="001448D4" w:rsidRPr="005807C1" w:rsidRDefault="001448D4" w:rsidP="001448D4"/>
    <w:p w:rsidR="001448D4" w:rsidRDefault="001448D4" w:rsidP="001448D4">
      <w:pPr>
        <w:rPr>
          <w:lang w:val="en-US"/>
        </w:rPr>
      </w:pPr>
    </w:p>
    <w:p w:rsidR="001448D4" w:rsidRDefault="001448D4" w:rsidP="001448D4">
      <w:pPr>
        <w:rPr>
          <w:lang w:val="en-US"/>
        </w:rPr>
      </w:pPr>
    </w:p>
    <w:p w:rsidR="001448D4" w:rsidRDefault="001448D4" w:rsidP="001448D4"/>
    <w:p w:rsidR="001448D4" w:rsidRDefault="001448D4" w:rsidP="001448D4"/>
    <w:p w:rsidR="001448D4" w:rsidRDefault="001448D4" w:rsidP="001448D4"/>
    <w:p w:rsidR="001448D4" w:rsidRDefault="001448D4" w:rsidP="001448D4">
      <w:bookmarkStart w:id="0" w:name="_GoBack"/>
      <w:bookmarkEnd w:id="0"/>
    </w:p>
    <w:p w:rsidR="001448D4" w:rsidRDefault="001448D4" w:rsidP="001448D4"/>
    <w:p w:rsidR="001448D4" w:rsidRDefault="001448D4" w:rsidP="001448D4"/>
    <w:p w:rsidR="001448D4" w:rsidRDefault="001448D4" w:rsidP="001448D4"/>
    <w:p w:rsidR="001448D4" w:rsidRDefault="001448D4" w:rsidP="001448D4"/>
    <w:p w:rsidR="001448D4" w:rsidRDefault="001448D4" w:rsidP="001448D4"/>
    <w:p w:rsidR="001448D4" w:rsidRDefault="001448D4" w:rsidP="001448D4"/>
    <w:p w:rsidR="001448D4" w:rsidRDefault="001448D4" w:rsidP="001448D4">
      <w:pPr>
        <w:rPr>
          <w:rFonts w:cs="Arial"/>
          <w:szCs w:val="20"/>
          <w:lang w:val="en-US"/>
        </w:rPr>
      </w:pPr>
    </w:p>
    <w:p w:rsidR="00EC1BFC" w:rsidRDefault="00EC1BFC"/>
    <w:sectPr w:rsidR="00EC1BFC" w:rsidSect="00144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D4"/>
    <w:rsid w:val="001448D4"/>
    <w:rsid w:val="005807C1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48D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48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60;fld=134;dst=100095" TargetMode="External"/><Relationship Id="rId13" Type="http://schemas.openxmlformats.org/officeDocument/2006/relationships/hyperlink" Target="consultantplus://offline/main?base=LAW;n=115960;fld=134;dst=10045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960;fld=134;dst=100057" TargetMode="External"/><Relationship Id="rId12" Type="http://schemas.openxmlformats.org/officeDocument/2006/relationships/hyperlink" Target="consultantplus://offline/main?base=LAW;n=115960;fld=134;dst=100265" TargetMode="External"/><Relationship Id="rId17" Type="http://schemas.openxmlformats.org/officeDocument/2006/relationships/hyperlink" Target="consultantplus://offline/main?base=LAW;n=112770;fld=134;dst=10147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70;fld=134;dst=10133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2047" TargetMode="External"/><Relationship Id="rId11" Type="http://schemas.openxmlformats.org/officeDocument/2006/relationships/hyperlink" Target="consultantplus://offline/main?base=LAW;n=112770;fld=134;dst=1002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70;fld=134;dst=101311" TargetMode="External"/><Relationship Id="rId10" Type="http://schemas.openxmlformats.org/officeDocument/2006/relationships/hyperlink" Target="consultantplus://offline/main?base=LAW;n=115866;fld=134;dst=1001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642" TargetMode="External"/><Relationship Id="rId14" Type="http://schemas.openxmlformats.org/officeDocument/2006/relationships/hyperlink" Target="consultantplus://offline/main?base=LAW;n=115960;fld=134;dst=100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2014-02-07T06:26:00Z</dcterms:created>
  <dcterms:modified xsi:type="dcterms:W3CDTF">2014-02-07T06:26:00Z</dcterms:modified>
</cp:coreProperties>
</file>