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CA3BDB">
        <w:rPr>
          <w:rFonts w:cs="Times New Roman"/>
          <w:b/>
        </w:rPr>
        <w:t>111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 w:rsidRPr="004B7FA5">
        <w:rPr>
          <w:rFonts w:cs="Times New Roman"/>
          <w:b/>
        </w:rPr>
        <w:t>Прислали бюллетени:</w:t>
      </w:r>
      <w:r w:rsidRPr="004B7FA5">
        <w:rPr>
          <w:rFonts w:eastAsia="Verdana" w:cs="Times New Roman"/>
        </w:rPr>
        <w:t xml:space="preserve"> </w:t>
      </w:r>
      <w:proofErr w:type="spellStart"/>
      <w:r w:rsidR="00FA6890" w:rsidRPr="008C15CD">
        <w:rPr>
          <w:rFonts w:cs="Times New Roman"/>
        </w:rPr>
        <w:t>Галеев</w:t>
      </w:r>
      <w:proofErr w:type="spellEnd"/>
      <w:r w:rsidR="00FA6890" w:rsidRPr="008C15CD">
        <w:rPr>
          <w:rFonts w:cs="Times New Roman"/>
        </w:rPr>
        <w:t xml:space="preserve"> Р.Д.</w:t>
      </w:r>
      <w:r w:rsidR="00FA6890">
        <w:rPr>
          <w:rFonts w:cs="Times New Roman"/>
        </w:rPr>
        <w:t xml:space="preserve">, </w:t>
      </w:r>
      <w:r w:rsidR="0035510A" w:rsidRPr="004B7FA5">
        <w:rPr>
          <w:rFonts w:cs="Times New Roman"/>
        </w:rPr>
        <w:t>Егоров В.А.,</w:t>
      </w:r>
      <w:r w:rsidR="001504AC" w:rsidRPr="004B7FA5">
        <w:rPr>
          <w:rFonts w:cs="Times New Roman"/>
        </w:rPr>
        <w:t xml:space="preserve"> </w:t>
      </w:r>
      <w:r w:rsidR="001504AC" w:rsidRPr="004B7FA5">
        <w:rPr>
          <w:rFonts w:eastAsia="Times New Roman" w:cs="Times New Roman"/>
        </w:rPr>
        <w:t xml:space="preserve">Миловидова Е.Э., </w:t>
      </w:r>
      <w:r w:rsidR="008F475D" w:rsidRPr="004B7FA5">
        <w:rPr>
          <w:rFonts w:eastAsia="Times New Roman" w:cs="Times New Roman"/>
        </w:rPr>
        <w:t>Монастырская И.В.,</w:t>
      </w:r>
      <w:r w:rsidR="00F75206" w:rsidRPr="004B7FA5">
        <w:rPr>
          <w:rFonts w:eastAsia="Times New Roman" w:cs="Times New Roman"/>
        </w:rPr>
        <w:t xml:space="preserve"> </w:t>
      </w:r>
      <w:r w:rsidR="001504AC" w:rsidRPr="004B7FA5">
        <w:rPr>
          <w:rFonts w:eastAsia="Times New Roman" w:cs="Times New Roman"/>
        </w:rPr>
        <w:t>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FA6890">
        <w:rPr>
          <w:rFonts w:cs="Times New Roman"/>
        </w:rPr>
        <w:t xml:space="preserve"> 7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CA3BDB" w:rsidP="00B163BC">
      <w:pPr>
        <w:rPr>
          <w:rFonts w:cs="Times New Roman"/>
          <w:b/>
        </w:rPr>
      </w:pPr>
      <w:r>
        <w:rPr>
          <w:rFonts w:cs="Times New Roman"/>
          <w:b/>
        </w:rPr>
        <w:t>14 апреля 2016</w:t>
      </w:r>
      <w:r w:rsidR="00B163BC">
        <w:rPr>
          <w:rFonts w:cs="Times New Roman"/>
          <w:b/>
        </w:rPr>
        <w:t xml:space="preserve">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35510A" w:rsidRDefault="009015D5" w:rsidP="00CA3BDB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9015D5">
        <w:rPr>
          <w:rFonts w:eastAsia="Times New Roman" w:cs="Times New Roman"/>
          <w:bCs/>
        </w:rPr>
        <w:t>1.</w:t>
      </w:r>
      <w:r>
        <w:rPr>
          <w:rFonts w:eastAsia="Times New Roman" w:cs="Times New Roman"/>
          <w:bCs/>
        </w:rPr>
        <w:t xml:space="preserve"> </w:t>
      </w:r>
      <w:r w:rsidR="00CA3BDB" w:rsidRPr="00CA3BDB">
        <w:rPr>
          <w:rFonts w:eastAsia="Times New Roman" w:cs="Times New Roman"/>
          <w:bCs/>
        </w:rPr>
        <w:t>О соблюдении территориальными органами по сертификации и аттестационными комиссиями Системы добровольной сертификации услуг на рынке недвижимости Федерального Закона №152 от 27 июля 2006 года «О персональных данных».</w:t>
      </w:r>
    </w:p>
    <w:p w:rsidR="00CA3BDB" w:rsidRPr="00CA3BDB" w:rsidRDefault="00CA3BDB" w:rsidP="00CA3BDB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4B7FA5" w:rsidRPr="004B7FA5" w:rsidRDefault="004B7FA5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CA3BDB" w:rsidRPr="00CA3BDB" w:rsidRDefault="00CA3BDB" w:rsidP="0035510A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</w:p>
    <w:p w:rsidR="008F475D" w:rsidRPr="00EE59E3" w:rsidRDefault="008F475D" w:rsidP="00296E17">
      <w:pPr>
        <w:pStyle w:val="a4"/>
        <w:jc w:val="both"/>
        <w:rPr>
          <w:rStyle w:val="a3"/>
          <w:rFonts w:cs="Times New Roman"/>
          <w:bCs w:val="0"/>
          <w:lang w:val="ru-RU"/>
        </w:rPr>
      </w:pPr>
    </w:p>
    <w:p w:rsidR="00CA3BDB" w:rsidRDefault="00CA3BDB" w:rsidP="00CA3BDB">
      <w:pPr>
        <w:pStyle w:val="a4"/>
        <w:jc w:val="both"/>
        <w:rPr>
          <w:rFonts w:eastAsia="Times New Roman" w:cs="Times New Roman"/>
          <w:bCs/>
          <w:lang w:val="ru-RU"/>
        </w:rPr>
      </w:pPr>
      <w:r w:rsidRPr="00CA3BDB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Pr="00CA3BDB">
        <w:rPr>
          <w:rFonts w:eastAsia="Times New Roman" w:cs="Times New Roman"/>
          <w:bCs/>
        </w:rPr>
        <w:t>О соблюдении территориальными органами по сертификации и аттестационными комиссиями Системы добровольной сертификации услуг на рынке недвижимости Федерального Закона №152 от 27 июля 2006 года «О персональных данных».</w:t>
      </w:r>
    </w:p>
    <w:p w:rsidR="00CA3BDB" w:rsidRDefault="0035510A" w:rsidP="00CA3BDB">
      <w:pPr>
        <w:pStyle w:val="a4"/>
        <w:jc w:val="both"/>
        <w:rPr>
          <w:bCs/>
          <w:lang w:val="ru-RU"/>
        </w:rPr>
      </w:pPr>
      <w:r w:rsidRPr="0035510A">
        <w:rPr>
          <w:b/>
          <w:bCs/>
        </w:rPr>
        <w:t>Особое мнение:</w:t>
      </w:r>
      <w:r>
        <w:rPr>
          <w:bCs/>
        </w:rPr>
        <w:t xml:space="preserve"> </w:t>
      </w:r>
      <w:r w:rsidR="00CA3BDB" w:rsidRPr="00CA3BDB">
        <w:rPr>
          <w:bCs/>
          <w:lang w:val="ru-RU"/>
        </w:rPr>
        <w:t>Монастырская</w:t>
      </w:r>
      <w:r w:rsidR="00CA3BDB">
        <w:rPr>
          <w:bCs/>
          <w:lang w:val="ru-RU"/>
        </w:rPr>
        <w:t xml:space="preserve"> И.В</w:t>
      </w:r>
      <w:r w:rsidR="009015D5">
        <w:rPr>
          <w:bCs/>
          <w:lang w:val="ru-RU"/>
        </w:rPr>
        <w:t xml:space="preserve">.: </w:t>
      </w:r>
      <w:r w:rsidR="00CA3BDB" w:rsidRPr="00CA3BDB">
        <w:rPr>
          <w:bCs/>
        </w:rPr>
        <w:t>считаю необходимым по</w:t>
      </w:r>
      <w:r w:rsidR="00CA3BDB">
        <w:rPr>
          <w:bCs/>
        </w:rPr>
        <w:t>лучить разъяснения по вопросам:</w:t>
      </w:r>
    </w:p>
    <w:p w:rsidR="00CA3BDB" w:rsidRPr="00CA3BDB" w:rsidRDefault="00CA3BDB" w:rsidP="00CA3BDB">
      <w:pPr>
        <w:pStyle w:val="a4"/>
        <w:jc w:val="both"/>
        <w:rPr>
          <w:bCs/>
        </w:rPr>
      </w:pPr>
      <w:r w:rsidRPr="00CA3BDB">
        <w:rPr>
          <w:bCs/>
        </w:rPr>
        <w:t>1. Зарегистрирована ли РГР как оператор обработки ПД.</w:t>
      </w:r>
    </w:p>
    <w:p w:rsidR="00CA3BDB" w:rsidRPr="00CA3BDB" w:rsidRDefault="00CA3BDB" w:rsidP="00CA3BDB">
      <w:pPr>
        <w:pStyle w:val="a4"/>
        <w:jc w:val="both"/>
        <w:rPr>
          <w:bCs/>
        </w:rPr>
      </w:pPr>
      <w:r w:rsidRPr="00CA3BDB">
        <w:rPr>
          <w:bCs/>
        </w:rPr>
        <w:t>2. Какой вид обработки персональных данных субъектов заявлен (чем обусловлен указанный в п. 2 «исключительно автоматизированная обработка его персональных данных», хотелось бы получить разъяснения, какие признаки содержит реестр РГР, как программа обработки ПД</w:t>
      </w:r>
    </w:p>
    <w:p w:rsidR="00CA3BDB" w:rsidRPr="00CA3BDB" w:rsidRDefault="00CA3BDB" w:rsidP="00CA3BDB">
      <w:pPr>
        <w:pStyle w:val="a4"/>
        <w:jc w:val="both"/>
        <w:rPr>
          <w:bCs/>
        </w:rPr>
      </w:pPr>
      <w:r w:rsidRPr="00CA3BDB">
        <w:rPr>
          <w:bCs/>
        </w:rPr>
        <w:t>3. В случае подтверждения исключительно автоматизированной обработки необходимо предоставить ТОС описание средств защиты при обработки  ПД.</w:t>
      </w:r>
    </w:p>
    <w:p w:rsidR="006E66E4" w:rsidRPr="006E66E4" w:rsidRDefault="00CA3BDB" w:rsidP="00CA3BDB">
      <w:pPr>
        <w:pStyle w:val="a4"/>
        <w:jc w:val="both"/>
        <w:rPr>
          <w:bCs/>
          <w:lang w:val="ru-RU"/>
        </w:rPr>
      </w:pPr>
      <w:r w:rsidRPr="00CA3BDB">
        <w:rPr>
          <w:bCs/>
        </w:rPr>
        <w:t>4. Анализировалась ли информация о расходах, которые понесет ТОС при постановке на учет как оператор с автоматизированной обработкой ПД.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CA3BDB" w:rsidRDefault="00217FD7" w:rsidP="00CA3BDB">
      <w:pPr>
        <w:pStyle w:val="a4"/>
        <w:ind w:firstLine="708"/>
        <w:jc w:val="both"/>
        <w:rPr>
          <w:rStyle w:val="a3"/>
          <w:rFonts w:cs="Times New Roman"/>
          <w:b w:val="0"/>
        </w:rPr>
      </w:pPr>
      <w:r w:rsidRPr="00217FD7">
        <w:rPr>
          <w:rStyle w:val="a3"/>
          <w:rFonts w:cs="Times New Roman"/>
          <w:b w:val="0"/>
        </w:rPr>
        <w:t xml:space="preserve">1. </w:t>
      </w:r>
      <w:r w:rsidR="00CA3BDB" w:rsidRPr="00CA3BDB">
        <w:rPr>
          <w:rStyle w:val="a3"/>
          <w:rFonts w:cs="Times New Roman"/>
          <w:b w:val="0"/>
        </w:rPr>
        <w:t>Дополнить пункт 10  Положения «О Системе добровольной сертификации услуг на рынке недвижимости»:</w:t>
      </w:r>
    </w:p>
    <w:p w:rsidR="00CA3BDB" w:rsidRPr="00CA3BDB" w:rsidRDefault="00CA3BDB" w:rsidP="00CA3BDB">
      <w:pPr>
        <w:pStyle w:val="a4"/>
        <w:jc w:val="both"/>
        <w:rPr>
          <w:rStyle w:val="a3"/>
          <w:rFonts w:cs="Times New Roman"/>
          <w:b w:val="0"/>
        </w:rPr>
      </w:pPr>
      <w:r>
        <w:rPr>
          <w:rStyle w:val="a3"/>
          <w:rFonts w:cs="Times New Roman"/>
          <w:b w:val="0"/>
        </w:rPr>
        <w:t>1.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CA3BDB">
        <w:rPr>
          <w:rStyle w:val="a3"/>
          <w:rFonts w:cs="Times New Roman"/>
          <w:b w:val="0"/>
        </w:rPr>
        <w:t>В соответствии с требованиями Статьи 16 Федерального Закона №152 от 27 июля 2006 года «О персональных данных» решение о размещении персональных данных руководителей агентств недвижимости, аттестованных специалистов рынка недвижимости брокеров и агентов  и иных специалистов (далее – субъекты персональных данных) на сайте Единого реестра сертифицированных компаний и аттестованных специалистов на сайте reestr.rgr.ru (далее – Единый реестр) может быть принято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CA3BDB" w:rsidRPr="00CA3BDB" w:rsidRDefault="00CA3BDB" w:rsidP="00CA3BDB">
      <w:pPr>
        <w:pStyle w:val="a4"/>
        <w:jc w:val="both"/>
        <w:rPr>
          <w:rStyle w:val="a3"/>
          <w:rFonts w:cs="Times New Roman"/>
          <w:b w:val="0"/>
        </w:rPr>
      </w:pPr>
      <w:r>
        <w:rPr>
          <w:rStyle w:val="a3"/>
          <w:rFonts w:cs="Times New Roman"/>
          <w:b w:val="0"/>
        </w:rPr>
        <w:t>2.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CA3BDB">
        <w:rPr>
          <w:rStyle w:val="a3"/>
          <w:rFonts w:cs="Times New Roman"/>
          <w:b w:val="0"/>
        </w:rPr>
        <w:t>Территориальный орган по сертификации или аккредитованное учебное заведение, наделенное полномочиями по внесению персональных данных в Единый реестр обязаны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CA3BDB" w:rsidRPr="00CA3BDB" w:rsidRDefault="00CA3BDB" w:rsidP="00CA3BDB">
      <w:pPr>
        <w:pStyle w:val="a4"/>
        <w:jc w:val="both"/>
        <w:rPr>
          <w:rStyle w:val="a3"/>
          <w:rFonts w:cs="Times New Roman"/>
          <w:b w:val="0"/>
        </w:rPr>
      </w:pPr>
      <w:r>
        <w:rPr>
          <w:rStyle w:val="a3"/>
          <w:rFonts w:cs="Times New Roman"/>
          <w:b w:val="0"/>
        </w:rPr>
        <w:t>3.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CA3BDB">
        <w:rPr>
          <w:rStyle w:val="a3"/>
          <w:rFonts w:cs="Times New Roman"/>
          <w:b w:val="0"/>
        </w:rPr>
        <w:t>Территориальный орган по сертификации или аккредитованное учебное заведение, наделенное полномочиями по внесению персональных данных в Единый реестр,  обязано организовать хранение согласий на обработку персональных данных и предоставлять их соответствующим органам в случае проверок, предусмотренных законодательством РФ и правилами Системы добровольной сертификации.</w:t>
      </w:r>
    </w:p>
    <w:p w:rsidR="00CA3BDB" w:rsidRPr="00CA3BDB" w:rsidRDefault="00CA3BDB" w:rsidP="00CA3BDB">
      <w:pPr>
        <w:pStyle w:val="a4"/>
        <w:jc w:val="both"/>
        <w:rPr>
          <w:rStyle w:val="a3"/>
          <w:rFonts w:cs="Times New Roman"/>
          <w:b w:val="0"/>
        </w:rPr>
      </w:pPr>
      <w:r>
        <w:rPr>
          <w:rStyle w:val="a3"/>
          <w:rFonts w:cs="Times New Roman"/>
          <w:b w:val="0"/>
        </w:rPr>
        <w:t>4.</w:t>
      </w:r>
      <w:r>
        <w:rPr>
          <w:rStyle w:val="a3"/>
          <w:rFonts w:cs="Times New Roman"/>
          <w:b w:val="0"/>
          <w:lang w:val="ru-RU"/>
        </w:rPr>
        <w:t xml:space="preserve"> </w:t>
      </w:r>
      <w:r w:rsidRPr="00CA3BDB">
        <w:rPr>
          <w:rStyle w:val="a3"/>
          <w:rFonts w:cs="Times New Roman"/>
          <w:b w:val="0"/>
        </w:rPr>
        <w:t>Ответственность за соблюдение данного решения возлагается на руководителей аккредитованных органов по сертификации и учебных заведений.</w:t>
      </w:r>
    </w:p>
    <w:p w:rsidR="00CA3BDB" w:rsidRDefault="00CA3BDB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2. </w:t>
      </w:r>
      <w:r w:rsidRPr="00CA3BDB">
        <w:rPr>
          <w:rStyle w:val="a3"/>
          <w:rFonts w:cs="Times New Roman"/>
          <w:b w:val="0"/>
        </w:rPr>
        <w:t>Внести данные дополнения на рассмотрение Правления РГР и Национального совета РГР во 2 квартале 2016 года. Отв. Хромов А.А., Самойлов О.П.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6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A6890">
        <w:rPr>
          <w:rStyle w:val="a3"/>
          <w:rFonts w:cs="Times New Roman"/>
          <w:b w:val="0"/>
          <w:bCs w:val="0"/>
          <w:lang w:val="ru-RU"/>
        </w:rPr>
        <w:t>, 1 голос – «Особое мнение».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bookmarkStart w:id="0" w:name="_GoBack"/>
      <w:bookmarkEnd w:id="0"/>
      <w:r w:rsidRPr="001D4272">
        <w:rPr>
          <w:rStyle w:val="a3"/>
          <w:rFonts w:eastAsia="Times New Roman" w:cs="Times New Roman"/>
        </w:rPr>
        <w:lastRenderedPageBreak/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8"/>
  </w:num>
  <w:num w:numId="17">
    <w:abstractNumId w:val="14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83F9F"/>
    <w:rsid w:val="00104B5E"/>
    <w:rsid w:val="00106131"/>
    <w:rsid w:val="001504AC"/>
    <w:rsid w:val="001E6189"/>
    <w:rsid w:val="00217FD7"/>
    <w:rsid w:val="00296E17"/>
    <w:rsid w:val="002B6DEA"/>
    <w:rsid w:val="002C46F9"/>
    <w:rsid w:val="002C4F78"/>
    <w:rsid w:val="0035510A"/>
    <w:rsid w:val="004B7FA5"/>
    <w:rsid w:val="006E66E4"/>
    <w:rsid w:val="00735BF9"/>
    <w:rsid w:val="008368B0"/>
    <w:rsid w:val="0086508C"/>
    <w:rsid w:val="008B75F3"/>
    <w:rsid w:val="008F475D"/>
    <w:rsid w:val="009015D5"/>
    <w:rsid w:val="009A75A2"/>
    <w:rsid w:val="009F43E7"/>
    <w:rsid w:val="00AE5C1D"/>
    <w:rsid w:val="00B163BC"/>
    <w:rsid w:val="00B47EB9"/>
    <w:rsid w:val="00BB6441"/>
    <w:rsid w:val="00BF2E92"/>
    <w:rsid w:val="00CA3BDB"/>
    <w:rsid w:val="00DA4BE7"/>
    <w:rsid w:val="00EE1239"/>
    <w:rsid w:val="00EE59E3"/>
    <w:rsid w:val="00F5770D"/>
    <w:rsid w:val="00F75206"/>
    <w:rsid w:val="00F872D0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3</cp:revision>
  <cp:lastPrinted>2016-04-18T12:17:00Z</cp:lastPrinted>
  <dcterms:created xsi:type="dcterms:W3CDTF">2016-04-14T14:31:00Z</dcterms:created>
  <dcterms:modified xsi:type="dcterms:W3CDTF">2016-04-18T12:17:00Z</dcterms:modified>
</cp:coreProperties>
</file>