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  <w:r>
        <w:rPr>
          <w:rStyle w:val="a3"/>
          <w:rFonts w:ascii="Verdana" w:hAnsi="Verdana" w:cs="Arial"/>
          <w:color w:val="333333"/>
          <w:sz w:val="27"/>
          <w:szCs w:val="27"/>
        </w:rPr>
        <w:t>АНКЕТА</w:t>
      </w:r>
    </w:p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3.2. Участие представителей компании в учебных процессах 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201</w:t>
            </w:r>
            <w:r w:rsidR="0071596F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3.6. Участие в муниципальных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Справка в произвольной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71596F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Наличие публичных тарифов на оказание риэлторских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?баллов</w:t>
            </w: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баллов</w:t>
            </w:r>
          </w:p>
        </w:tc>
      </w:tr>
    </w:tbl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t>*) Удостоверяется подписью руководителя и печатью фирмы под заполненной анкетой.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lastRenderedPageBreak/>
        <w:t>**) Пакет договоров по выбору фирмы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Приложения 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На ___________ листах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071E52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«___» __________ 201</w:t>
            </w:r>
            <w:r w:rsidR="00071E52">
              <w:rPr>
                <w:rStyle w:val="a3"/>
                <w:rFonts w:ascii="Arial" w:hAnsi="Arial" w:cs="Arial"/>
                <w:color w:val="000066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года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Отметка о получении 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Pr="006F4B23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p w:rsidR="00FB4564" w:rsidRDefault="00FB4564"/>
    <w:sectPr w:rsidR="00FB456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71596F"/>
    <w:rsid w:val="009B2B67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3001</Characters>
  <Application>Microsoft Office Word</Application>
  <DocSecurity>0</DocSecurity>
  <Lines>51</Lines>
  <Paragraphs>13</Paragraphs>
  <ScaleCrop>false</ScaleCrop>
  <Company>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Inform</cp:lastModifiedBy>
  <cp:revision>3</cp:revision>
  <dcterms:created xsi:type="dcterms:W3CDTF">2013-04-01T13:21:00Z</dcterms:created>
  <dcterms:modified xsi:type="dcterms:W3CDTF">2014-02-17T06:32:00Z</dcterms:modified>
</cp:coreProperties>
</file>