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52" w:rsidRDefault="003666F8" w:rsidP="00862252">
      <w:pPr>
        <w:pStyle w:val="a4"/>
        <w:spacing w:before="0"/>
        <w:jc w:val="center"/>
        <w:rPr>
          <w:rStyle w:val="a3"/>
          <w:rFonts w:ascii="Verdana" w:hAnsi="Verdana" w:cs="Arial"/>
          <w:color w:val="000066"/>
          <w:sz w:val="27"/>
          <w:szCs w:val="27"/>
        </w:rPr>
      </w:pPr>
      <w:r>
        <w:rPr>
          <w:rStyle w:val="a3"/>
          <w:rFonts w:ascii="Verdana" w:hAnsi="Verdana" w:cs="Arial"/>
          <w:color w:val="000066"/>
          <w:sz w:val="27"/>
          <w:szCs w:val="27"/>
        </w:rPr>
        <w:t>«ЛУЧШАЯ БРОКЕРСКАЯ КОМПАНИЯ НА РЫНКЕ ЗАРУБЕЖНОЙ НЕДВИЖИМОСТИ 201</w:t>
      </w:r>
      <w:r w:rsidR="00862252">
        <w:rPr>
          <w:rStyle w:val="a3"/>
          <w:rFonts w:ascii="Verdana" w:hAnsi="Verdana" w:cs="Arial"/>
          <w:color w:val="000066"/>
          <w:sz w:val="27"/>
          <w:szCs w:val="27"/>
        </w:rPr>
        <w:t>5</w:t>
      </w:r>
      <w:r>
        <w:rPr>
          <w:rStyle w:val="a3"/>
          <w:rFonts w:ascii="Verdana" w:hAnsi="Verdana" w:cs="Arial"/>
          <w:color w:val="000066"/>
          <w:sz w:val="27"/>
          <w:szCs w:val="27"/>
        </w:rPr>
        <w:t xml:space="preserve">» </w:t>
      </w:r>
    </w:p>
    <w:p w:rsidR="003666F8" w:rsidRDefault="003666F8" w:rsidP="00862252">
      <w:pPr>
        <w:pStyle w:val="a4"/>
        <w:spacing w:before="0"/>
        <w:jc w:val="center"/>
        <w:rPr>
          <w:rStyle w:val="a3"/>
          <w:rFonts w:ascii="Verdana" w:hAnsi="Verdana" w:cs="Arial"/>
          <w:color w:val="000066"/>
          <w:sz w:val="27"/>
          <w:szCs w:val="27"/>
        </w:rPr>
      </w:pPr>
      <w:r>
        <w:rPr>
          <w:rStyle w:val="a3"/>
          <w:rFonts w:ascii="Verdana" w:hAnsi="Verdana" w:cs="Arial"/>
          <w:color w:val="000066"/>
          <w:sz w:val="27"/>
          <w:szCs w:val="27"/>
        </w:rPr>
        <w:t>анкета и список сопроводительных материалов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6439"/>
      </w:tblGrid>
      <w:tr w:rsidR="003666F8" w:rsidTr="004F5957">
        <w:tc>
          <w:tcPr>
            <w:tcW w:w="3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3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3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 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3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3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3666F8" w:rsidRDefault="003666F8" w:rsidP="003666F8">
      <w:pPr>
        <w:pStyle w:val="a4"/>
        <w:rPr>
          <w:rFonts w:ascii="Verdana" w:hAnsi="Verdana" w:cs="Arial"/>
          <w:color w:val="000066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66"/>
          <w:sz w:val="18"/>
          <w:szCs w:val="18"/>
        </w:rPr>
        <w:t xml:space="preserve"> 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  <w:gridCol w:w="1534"/>
        <w:gridCol w:w="3399"/>
      </w:tblGrid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Группы критериев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Показатели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Подтверждающие документы</w:t>
            </w:r>
          </w:p>
        </w:tc>
      </w:tr>
      <w:tr w:rsidR="003666F8" w:rsidTr="004F5957">
        <w:tc>
          <w:tcPr>
            <w:tcW w:w="1041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862252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862252" w:rsidRDefault="003666F8" w:rsidP="00862252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 xml:space="preserve">1. СТАЖ И НАПРАВЛЕНИЯ РАБОТЫ 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862252">
            <w:pPr>
              <w:snapToGrid w:val="0"/>
              <w:spacing w:after="280"/>
              <w:ind w:left="62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862252" w:rsidP="00862252">
            <w:pPr>
              <w:snapToGrid w:val="0"/>
              <w:spacing w:after="280"/>
              <w:ind w:left="62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1. </w:t>
            </w:r>
            <w:r w:rsidR="003666F8">
              <w:rPr>
                <w:rFonts w:ascii="Arial" w:hAnsi="Arial" w:cs="Arial"/>
                <w:color w:val="000066"/>
                <w:sz w:val="20"/>
                <w:szCs w:val="20"/>
              </w:rPr>
              <w:t>Опыт работы на рынке недвижимости (вообще в области недвижимости и по данному направлению)</w:t>
            </w:r>
            <w:r w:rsidR="003666F8"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3666F8" w:rsidRDefault="003666F8" w:rsidP="004F5957">
            <w:pPr>
              <w:pStyle w:val="a4"/>
              <w:spacing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Фирма: специализируется исключительно на рынке зарубежной недвижимости, работает на внутреннем рынке, но имеет отдельный департамент зарубежной недвижимости, является российским представительством зарубежной компании, франчайзинг, другое)</w:t>
            </w:r>
            <w:proofErr w:type="gramEnd"/>
          </w:p>
          <w:p w:rsidR="00862252" w:rsidRDefault="00862252" w:rsidP="004F5957">
            <w:pPr>
              <w:pStyle w:val="a4"/>
              <w:spacing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snapToGrid w:val="0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3666F8" w:rsidP="004F5957">
            <w:pPr>
              <w:snapToGrid w:val="0"/>
              <w:jc w:val="both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Копии свидетельст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а) </w:t>
            </w:r>
          </w:p>
          <w:p w:rsidR="00862252" w:rsidRDefault="003666F8" w:rsidP="004F5957">
            <w:pPr>
              <w:snapToGrid w:val="0"/>
              <w:jc w:val="both"/>
              <w:rPr>
                <w:rFonts w:ascii="Arial" w:hAnsi="Arial" w:cs="Arial"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 регистрации или</w:t>
            </w:r>
            <w:r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 </w:t>
            </w:r>
          </w:p>
          <w:p w:rsidR="003666F8" w:rsidRDefault="003666F8" w:rsidP="004F5957">
            <w:pPr>
              <w:snapToGrid w:val="0"/>
              <w:jc w:val="both"/>
              <w:rPr>
                <w:rFonts w:ascii="Arial" w:hAnsi="Arial" w:cs="Arial"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выписки </w:t>
            </w:r>
            <w:r w:rsidR="00862252">
              <w:rPr>
                <w:rFonts w:ascii="Arial" w:hAnsi="Arial" w:cs="Arial"/>
                <w:bCs/>
                <w:color w:val="333399"/>
                <w:sz w:val="20"/>
                <w:szCs w:val="20"/>
              </w:rPr>
              <w:t>ЕГРЮЛ</w:t>
            </w:r>
          </w:p>
          <w:p w:rsidR="003666F8" w:rsidRDefault="003666F8" w:rsidP="004F5957">
            <w:pPr>
              <w:pStyle w:val="a4"/>
              <w:spacing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Описание, возможно предоставление развернутой презентации 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1.2. В каких странах компания предлагает недвижимость, процентное соотношение количества объектов, предлагаемых в разных странах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стран, изложение оснований для выбора данных направлений (произвольно)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1.3. Типы предлагаемой недвижимости по странам (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жилая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, «вторые дома», коммерческая, первичный рынок, вторичный рынок, участки,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инвестпроекты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>, пр.)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Список, возможно предоставление развернутой презентации проектов\продуктов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862252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1.4. Количество договоров с партнерами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процент эксклюзивных договоров, по сравнению с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неэксклюзивными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(эксклюзив по региону или по стране)</w:t>
            </w:r>
          </w:p>
          <w:p w:rsidR="00862252" w:rsidRDefault="00862252" w:rsidP="00862252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фирм-партнеров с пометками – эксклюзивный договор или нет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1.5. Какие именно услуги оказываются компанией клиентам – покупателям недвижимости за рубежом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Договоры с клиентами, презентация услуг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1.6. Какой предпродажный сервис и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постпродажный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сервис получают клиенты от самой компан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ии и ее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зарубежных партнеров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Подробное описание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1.7. Оказывает ли компания услуги продавцам-собственникам недвижимости за рубежом, имеет ли собственные инвестиционные проекты, девелопмент 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Договоры с клиентами, презентация услуг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1.8. Какие сопутствующие услуги, помимо брокерских, оказывает фирма клиентам (иммиграционные, банковские, помощь в получении кредитов, образования, другое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и в каких странах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Список, возможно предоставление развернутой презентации проектов\продуктов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1.9. Процентное соотношение элитной и эксклюзивной недвижимости, предлагаемой за рубежом, к доступной недвижимости (в целом и по странам)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3666F8" w:rsidRDefault="003666F8" w:rsidP="004F5957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Процентное соотношение предлагаемых фирмой объектов по ценовым категориям</w:t>
            </w:r>
          </w:p>
          <w:p w:rsidR="00862252" w:rsidRDefault="00862252" w:rsidP="004F5957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Процентное соотношение предлагаемых фирмой объектов по ценовым категориям по странам: </w:t>
            </w:r>
          </w:p>
          <w:p w:rsidR="003666F8" w:rsidRPr="00862252" w:rsidRDefault="003666F8" w:rsidP="004F5957">
            <w:pPr>
              <w:snapToGrid w:val="0"/>
              <w:rPr>
                <w:rFonts w:ascii="Arial" w:hAnsi="Arial" w:cs="Arial"/>
                <w:b/>
                <w:i/>
                <w:color w:val="000066"/>
                <w:sz w:val="18"/>
                <w:szCs w:val="18"/>
              </w:rPr>
            </w:pPr>
            <w:r w:rsidRPr="00862252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>до 50 тысяч Евро</w:t>
            </w:r>
            <w:r w:rsidRPr="00862252">
              <w:rPr>
                <w:rFonts w:ascii="Arial" w:hAnsi="Arial" w:cs="Arial"/>
                <w:b/>
                <w:i/>
                <w:color w:val="000066"/>
                <w:sz w:val="18"/>
                <w:szCs w:val="18"/>
              </w:rPr>
              <w:t xml:space="preserve"> </w:t>
            </w:r>
          </w:p>
          <w:p w:rsidR="00862252" w:rsidRDefault="003666F8" w:rsidP="004F5957">
            <w:pPr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862252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50-150 т. </w:t>
            </w:r>
          </w:p>
          <w:p w:rsidR="00862252" w:rsidRDefault="003666F8" w:rsidP="004F5957">
            <w:pPr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862252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150-300 т. </w:t>
            </w:r>
          </w:p>
          <w:p w:rsidR="003666F8" w:rsidRPr="00862252" w:rsidRDefault="003666F8" w:rsidP="004F5957">
            <w:pPr>
              <w:rPr>
                <w:rFonts w:ascii="Arial" w:hAnsi="Arial" w:cs="Arial"/>
                <w:b/>
                <w:i/>
                <w:color w:val="000066"/>
                <w:sz w:val="18"/>
                <w:szCs w:val="18"/>
              </w:rPr>
            </w:pPr>
            <w:r w:rsidRPr="00862252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>300-500 т.</w:t>
            </w:r>
            <w:r w:rsidRPr="00862252">
              <w:rPr>
                <w:rFonts w:ascii="Arial" w:hAnsi="Arial" w:cs="Arial"/>
                <w:b/>
                <w:i/>
                <w:color w:val="000066"/>
                <w:sz w:val="18"/>
                <w:szCs w:val="18"/>
              </w:rPr>
              <w:t xml:space="preserve"> </w:t>
            </w:r>
          </w:p>
          <w:p w:rsidR="00862252" w:rsidRDefault="003666F8" w:rsidP="004F5957">
            <w:pPr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862252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500т.– 1 млн. </w:t>
            </w:r>
          </w:p>
          <w:p w:rsidR="00862252" w:rsidRDefault="003666F8" w:rsidP="004F5957">
            <w:pPr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862252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1-3 млн. </w:t>
            </w:r>
          </w:p>
          <w:p w:rsidR="003666F8" w:rsidRPr="00862252" w:rsidRDefault="003666F8" w:rsidP="004F5957">
            <w:pPr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</w:pPr>
            <w:r w:rsidRPr="00862252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выше 3 </w:t>
            </w:r>
            <w:proofErr w:type="gramStart"/>
            <w:r w:rsidRPr="00862252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>млн</w:t>
            </w:r>
            <w:proofErr w:type="gramEnd"/>
            <w:r w:rsidRPr="00862252">
              <w:rPr>
                <w:rFonts w:ascii="Arial" w:hAnsi="Arial" w:cs="Arial"/>
                <w:b/>
                <w:i/>
                <w:color w:val="000066"/>
                <w:sz w:val="20"/>
                <w:szCs w:val="20"/>
              </w:rPr>
              <w:t xml:space="preserve"> </w:t>
            </w:r>
          </w:p>
          <w:p w:rsidR="00862252" w:rsidRDefault="00862252" w:rsidP="004F5957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1.10. Процентное соотношение количества сделок по странам и по ценовым категориям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Таблицы в произвольной форме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862252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862252" w:rsidRDefault="003666F8" w:rsidP="00862252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 xml:space="preserve">2. МАРКЕТИНГ 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2.1.Публикации о компании для прессы на правах рекламы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изданий, Копии публикаций (скан)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2.2. Публикации обзорно-аналитического характера в прессе и интернете, подготовленные при участии сотрудников компании в качестве ньюсмейкеров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изданий Копии публикаций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3666F8" w:rsidRDefault="003666F8" w:rsidP="004F5957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(скан)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2.3.Участие сотрудников компании в радио- и телепередачах профильного характера в качестве экспертов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передач, тематика, список сотрудников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2.4.Презентационная полиграфия компании: Буклеты, брошюры, рекламные листовки, др.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Образцы (скан)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2.5. Дипломы и грамоты компан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ии и ее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сотрудников за участие в профильных мероприятиях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Список, копии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2.6. Участие компании в выставках зарубежной недвижимости в России в качестве экспонентов 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Список выставок, характер участия (на персональном стенде, корпоративном стенде, 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заочное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>)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2.7. Участие компании или посещение ее сотрудниками международных выставок недвижимости за рубежом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Список выставок, характер участия (визит, на стенде, 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заочное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>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2.8.Участие компании в подготовке и проведении семинаров для населения, в работе консультационных центров на мероприятиях 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Список, программы, возможно предоставление развернутой презентации 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2.9. Участие сотрудников компании в конференциях, круглых столах, пресс-конференциях в качестве спикеров (российских и международных)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мероприятий, темы сообщений, возможно предоставление презентаций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2.10.Есть ли у компании собственный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интернет-ресурс</w:t>
            </w:r>
            <w:proofErr w:type="spellEnd"/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Активные ссылки, возможно предоставление презентации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2.11.Пользуется ли компания услугами объединенных интерне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т-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ресурсов для продвижения предложений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Список, Активные ссылки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2.12. Сертифицирована ли брокерская деятельность компании на внутреннем рынке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Сертификат соответствия РС (копия)</w:t>
            </w:r>
          </w:p>
        </w:tc>
      </w:tr>
      <w:tr w:rsidR="003666F8" w:rsidTr="004F5957">
        <w:tc>
          <w:tcPr>
            <w:tcW w:w="1041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3. ПОЗИЦИОНИРОВАНИЕ КОМПАНИИ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3.1. Наличие зарегистрированных фирменных товарных знаков и знаков обслуживания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 о регистрации (копия)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3.2. Участие организации в российском профессиональном сообществе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3.3. Участие организации или ее сотрудников в международном профессиональном сообществе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3.4. Участие представителей компании в работе выборных органов российского или международного профессионального объединения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3.5. Участие в Национальном Конгрессе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</w:t>
            </w:r>
            <w:r w:rsidR="00862252">
              <w:rPr>
                <w:rFonts w:ascii="Arial" w:hAnsi="Arial" w:cs="Arial"/>
                <w:color w:val="000066"/>
                <w:sz w:val="20"/>
                <w:szCs w:val="20"/>
              </w:rPr>
              <w:t>ной форме, перечень участников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3.6. Участие в 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региональных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профессиональных </w:t>
            </w: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форумах</w:t>
            </w:r>
            <w:proofErr w:type="gramEnd"/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свидетельства/дипломы (копии)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3.7. Участие в профессиональных конкурсах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3666F8" w:rsidTr="004F5957">
        <w:tc>
          <w:tcPr>
            <w:tcW w:w="1041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4. ПЕРСОНАЛ КОМПАНИИ – квалификация и подготовка</w:t>
            </w:r>
          </w:p>
        </w:tc>
      </w:tr>
      <w:tr w:rsidR="003666F8" w:rsidTr="00862252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4.1. Количество сотрудников всего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666F8" w:rsidRDefault="003666F8" w:rsidP="00862252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666F8" w:rsidRDefault="003666F8" w:rsidP="00862252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</w:tr>
      <w:tr w:rsidR="003666F8" w:rsidTr="00862252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4.2. Количество специалистов, свободно владеющих иностранными языками (и какими именно)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862252" w:rsidRDefault="00862252" w:rsidP="00862252">
            <w:pPr>
              <w:pStyle w:val="a4"/>
              <w:snapToGrid w:val="0"/>
              <w:spacing w:before="0" w:after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862252">
            <w:pPr>
              <w:pStyle w:val="a4"/>
              <w:snapToGrid w:val="0"/>
              <w:spacing w:before="0" w:after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862252">
            <w:pPr>
              <w:pStyle w:val="a4"/>
              <w:snapToGrid w:val="0"/>
              <w:spacing w:before="0" w:after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*Список сотрудников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4.3. Количество сотрудников, работающих по трудовому договору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начальником отдела кадров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4.4. Сотрудники, прошедшие обучение, аттестацию, стажировку за рубежом, 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имеющих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свидетельства и сертификаты о международной подготовке в области недвижимости (CCIM, IREM, FIABCI, CIPS, пр.) 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сотрудников, прошедших обучение. Дипломы, сертификаты, аттестаты (копии)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4.5. Внутренняя система обучения специ</w:t>
            </w:r>
            <w:r w:rsidR="00862252">
              <w:rPr>
                <w:rFonts w:ascii="Arial" w:hAnsi="Arial" w:cs="Arial"/>
                <w:color w:val="000066"/>
                <w:sz w:val="20"/>
                <w:szCs w:val="20"/>
              </w:rPr>
              <w:t>алисто</w:t>
            </w:r>
            <w:proofErr w:type="gramStart"/>
            <w:r w:rsidR="00862252">
              <w:rPr>
                <w:rFonts w:ascii="Arial" w:hAnsi="Arial" w:cs="Arial"/>
                <w:color w:val="000066"/>
                <w:sz w:val="20"/>
                <w:szCs w:val="20"/>
              </w:rPr>
              <w:t>в-</w:t>
            </w:r>
            <w:proofErr w:type="gramEnd"/>
            <w:r w:rsidR="00862252">
              <w:rPr>
                <w:rFonts w:ascii="Arial" w:hAnsi="Arial" w:cs="Arial"/>
                <w:color w:val="000066"/>
                <w:sz w:val="20"/>
                <w:szCs w:val="20"/>
              </w:rPr>
              <w:t xml:space="preserve"> агентов-консультантов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программы и ступени обучения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4.6. Система построения трудовых отношений с сотрудниками, разделение обязанностей и функций, Внутренняя социальная политика компании (по отношению к сотрудникам)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в произвольной форме, пакет регламентирующих документов</w:t>
            </w:r>
          </w:p>
        </w:tc>
      </w:tr>
      <w:tr w:rsidR="003666F8" w:rsidTr="004F5957">
        <w:tc>
          <w:tcPr>
            <w:tcW w:w="1041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5. ТЕХНОЛОГИЯ ДЕЯТЕЛЬНОСТИ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5.1. Использование пакетов типовых договоров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видов договоров, пакет договоров с клиентом**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5.2. Количество сде</w:t>
            </w:r>
            <w:r w:rsidR="00862252">
              <w:rPr>
                <w:rFonts w:ascii="Arial" w:hAnsi="Arial" w:cs="Arial"/>
                <w:color w:val="000066"/>
                <w:sz w:val="20"/>
                <w:szCs w:val="20"/>
              </w:rPr>
              <w:t>лок всего (по данным бухучета)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583450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583450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за 201</w:t>
            </w:r>
            <w:r w:rsidR="00862252">
              <w:rPr>
                <w:rFonts w:ascii="Arial" w:hAnsi="Arial" w:cs="Arial"/>
                <w:color w:val="000066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год</w:t>
            </w:r>
          </w:p>
          <w:p w:rsidR="00862252" w:rsidRDefault="00862252" w:rsidP="00583450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3666F8" w:rsidTr="00862252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5.3. Процент сделок по рекомендациям и повторным обращениям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666F8" w:rsidRPr="00862252" w:rsidRDefault="003666F8" w:rsidP="00862252">
            <w:pPr>
              <w:snapToGrid w:val="0"/>
              <w:jc w:val="center"/>
              <w:rPr>
                <w:rFonts w:ascii="Arial" w:hAnsi="Arial" w:cs="Arial"/>
                <w:b/>
                <w:color w:val="000066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666F8" w:rsidRPr="00862252" w:rsidRDefault="003666F8" w:rsidP="00862252">
            <w:pPr>
              <w:snapToGrid w:val="0"/>
              <w:jc w:val="center"/>
              <w:rPr>
                <w:rFonts w:ascii="Arial" w:hAnsi="Arial" w:cs="Arial"/>
                <w:b/>
                <w:color w:val="000066"/>
                <w:sz w:val="20"/>
                <w:szCs w:val="20"/>
              </w:rPr>
            </w:pPr>
            <w:r w:rsidRPr="00862252">
              <w:rPr>
                <w:rFonts w:ascii="Arial" w:hAnsi="Arial" w:cs="Arial"/>
                <w:b/>
                <w:color w:val="000066"/>
                <w:sz w:val="20"/>
                <w:szCs w:val="20"/>
              </w:rPr>
              <w:t>*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5.4. Процент сделок с иногородними клиентами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5.5. Наличие документов, подтверждающих получение вознаграждения от клиента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документы (образцы)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5.6. Система построения взаимоотношений и распределения обязанностей сторон с зарубежными фирмами-партнерами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5.7. Система сопровождения клиентов компании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5.8. Система контроля качества услуг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5.9.</w:t>
            </w:r>
            <w:r w:rsidR="003666F8">
              <w:rPr>
                <w:rFonts w:ascii="Arial" w:hAnsi="Arial" w:cs="Arial"/>
                <w:color w:val="000066"/>
                <w:sz w:val="20"/>
                <w:szCs w:val="20"/>
              </w:rPr>
              <w:t xml:space="preserve">Система обеспечения сотрудников </w:t>
            </w:r>
            <w:proofErr w:type="gramStart"/>
            <w:r w:rsidR="003666F8">
              <w:rPr>
                <w:rFonts w:ascii="Arial" w:hAnsi="Arial" w:cs="Arial"/>
                <w:color w:val="000066"/>
                <w:sz w:val="20"/>
                <w:szCs w:val="20"/>
              </w:rPr>
              <w:t>актуальной</w:t>
            </w:r>
            <w:proofErr w:type="gramEnd"/>
            <w:r w:rsidR="003666F8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информацией о состоянии рынка недвижимости, экономики, политики, культуры и пр. в странах бизнеса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5.10. Техническая оснащенность рабочих мест сотрудников, используемые средства связи, пр.</w:t>
            </w:r>
          </w:p>
          <w:p w:rsidR="00862252" w:rsidRDefault="00862252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862252" w:rsidRDefault="00862252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</w:tr>
    </w:tbl>
    <w:p w:rsidR="00EA7E20" w:rsidRDefault="00EA7E20" w:rsidP="003666F8">
      <w:pPr>
        <w:rPr>
          <w:rFonts w:ascii="Verdana" w:hAnsi="Verdana" w:cs="Arial"/>
          <w:color w:val="548DD4" w:themeColor="text2" w:themeTint="99"/>
          <w:sz w:val="20"/>
          <w:szCs w:val="20"/>
        </w:rPr>
      </w:pPr>
    </w:p>
    <w:p w:rsidR="003666F8" w:rsidRPr="00EA7E20" w:rsidRDefault="003666F8" w:rsidP="003666F8">
      <w:pPr>
        <w:rPr>
          <w:rFonts w:ascii="Verdana" w:hAnsi="Verdana" w:cs="Arial"/>
          <w:color w:val="548DD4" w:themeColor="text2" w:themeTint="99"/>
          <w:sz w:val="18"/>
          <w:szCs w:val="18"/>
        </w:rPr>
      </w:pPr>
      <w:bookmarkStart w:id="0" w:name="_GoBack"/>
      <w:bookmarkEnd w:id="0"/>
      <w:proofErr w:type="gramStart"/>
      <w:r w:rsidRPr="00EA7E20">
        <w:rPr>
          <w:rFonts w:ascii="Verdana" w:hAnsi="Verdana" w:cs="Arial"/>
          <w:color w:val="548DD4" w:themeColor="text2" w:themeTint="99"/>
          <w:sz w:val="20"/>
          <w:szCs w:val="20"/>
        </w:rPr>
        <w:t>*) Удостоверяется подписью руководителя и печатью фирмы под заполненной анкетой.</w:t>
      </w:r>
      <w:r w:rsidRPr="00EA7E20">
        <w:rPr>
          <w:rFonts w:ascii="Verdana" w:hAnsi="Verdana" w:cs="Arial"/>
          <w:color w:val="548DD4" w:themeColor="text2" w:themeTint="99"/>
          <w:sz w:val="18"/>
          <w:szCs w:val="18"/>
        </w:rPr>
        <w:t xml:space="preserve"> </w:t>
      </w:r>
      <w:proofErr w:type="gramEnd"/>
    </w:p>
    <w:p w:rsidR="003666F8" w:rsidRPr="00EA7E20" w:rsidRDefault="003666F8" w:rsidP="003666F8">
      <w:pPr>
        <w:rPr>
          <w:rFonts w:ascii="Verdana" w:hAnsi="Verdana" w:cs="Arial"/>
          <w:color w:val="548DD4" w:themeColor="text2" w:themeTint="99"/>
          <w:sz w:val="18"/>
          <w:szCs w:val="18"/>
        </w:rPr>
      </w:pPr>
      <w:proofErr w:type="gramStart"/>
      <w:r w:rsidRPr="00EA7E20">
        <w:rPr>
          <w:rFonts w:ascii="Verdana" w:hAnsi="Verdana" w:cs="Arial"/>
          <w:color w:val="548DD4" w:themeColor="text2" w:themeTint="99"/>
          <w:sz w:val="20"/>
          <w:szCs w:val="20"/>
        </w:rPr>
        <w:t>**) Пакет договоров по выбору фирмы</w:t>
      </w:r>
      <w:r w:rsidRPr="00EA7E20">
        <w:rPr>
          <w:rFonts w:ascii="Verdana" w:hAnsi="Verdana" w:cs="Arial"/>
          <w:color w:val="548DD4" w:themeColor="text2" w:themeTint="99"/>
          <w:sz w:val="18"/>
          <w:szCs w:val="18"/>
        </w:rPr>
        <w:t xml:space="preserve"> </w:t>
      </w:r>
      <w:proofErr w:type="gramEnd"/>
    </w:p>
    <w:p w:rsidR="003666F8" w:rsidRDefault="003666F8" w:rsidP="003666F8">
      <w:pPr>
        <w:rPr>
          <w:rFonts w:ascii="Verdana" w:hAnsi="Verdana" w:cs="Arial"/>
          <w:color w:val="548DD4" w:themeColor="text2" w:themeTint="99"/>
          <w:sz w:val="18"/>
          <w:szCs w:val="18"/>
        </w:rPr>
      </w:pPr>
      <w:r w:rsidRPr="00EA7E20">
        <w:rPr>
          <w:rFonts w:ascii="Verdana" w:hAnsi="Verdana" w:cs="Arial"/>
          <w:color w:val="548DD4" w:themeColor="text2" w:themeTint="99"/>
          <w:sz w:val="18"/>
          <w:szCs w:val="18"/>
        </w:rPr>
        <w:t> </w:t>
      </w:r>
    </w:p>
    <w:p w:rsidR="00EA7E20" w:rsidRDefault="00EA7E20" w:rsidP="003666F8">
      <w:pPr>
        <w:rPr>
          <w:rFonts w:ascii="Verdana" w:hAnsi="Verdana" w:cs="Arial"/>
          <w:color w:val="548DD4" w:themeColor="text2" w:themeTint="99"/>
          <w:sz w:val="18"/>
          <w:szCs w:val="18"/>
        </w:rPr>
      </w:pPr>
    </w:p>
    <w:p w:rsidR="00EA7E20" w:rsidRDefault="00EA7E20" w:rsidP="003666F8">
      <w:pPr>
        <w:rPr>
          <w:rFonts w:ascii="Verdana" w:hAnsi="Verdana" w:cs="Arial"/>
          <w:color w:val="548DD4" w:themeColor="text2" w:themeTint="99"/>
          <w:sz w:val="18"/>
          <w:szCs w:val="18"/>
        </w:rPr>
      </w:pPr>
    </w:p>
    <w:p w:rsidR="00EA7E20" w:rsidRPr="00EA7E20" w:rsidRDefault="00EA7E20" w:rsidP="003666F8">
      <w:pPr>
        <w:rPr>
          <w:rFonts w:ascii="Verdana" w:hAnsi="Verdana" w:cs="Arial"/>
          <w:color w:val="548DD4" w:themeColor="text2" w:themeTint="99"/>
          <w:sz w:val="18"/>
          <w:szCs w:val="18"/>
        </w:rPr>
      </w:pP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5476"/>
      </w:tblGrid>
      <w:tr w:rsidR="003666F8" w:rsidTr="004F5957">
        <w:tc>
          <w:tcPr>
            <w:tcW w:w="40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A7E20" w:rsidRDefault="00EA7E20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EA7E20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Приложения (полный перечень):</w:t>
            </w:r>
            <w:r w:rsidR="00EA7E20"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54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A7E20" w:rsidRDefault="00EA7E20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На ___________ листах</w:t>
            </w:r>
          </w:p>
        </w:tc>
      </w:tr>
      <w:tr w:rsidR="003666F8" w:rsidTr="004F5957">
        <w:tc>
          <w:tcPr>
            <w:tcW w:w="40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A7E20" w:rsidRDefault="00EA7E20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Дата заполнения:</w:t>
            </w:r>
          </w:p>
          <w:p w:rsidR="00EA7E20" w:rsidRDefault="00EA7E20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A7E20" w:rsidRDefault="00EA7E20" w:rsidP="00EA7E20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EA7E20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«___» __________ 201</w:t>
            </w:r>
            <w:r w:rsidR="00EA7E20"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5</w:t>
            </w: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года</w:t>
            </w:r>
          </w:p>
        </w:tc>
      </w:tr>
      <w:tr w:rsidR="003666F8" w:rsidTr="004F5957">
        <w:tc>
          <w:tcPr>
            <w:tcW w:w="40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A7E20" w:rsidRDefault="00EA7E20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Подпись руководителя фирмы, печать:</w:t>
            </w:r>
          </w:p>
          <w:p w:rsidR="00EA7E20" w:rsidRDefault="00EA7E20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EA7E20" w:rsidRDefault="00EA7E20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40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A7E20" w:rsidRDefault="00EA7E20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EA7E20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Отметка о получении </w:t>
            </w:r>
          </w:p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(Ф.И.О., дата)</w:t>
            </w:r>
          </w:p>
          <w:p w:rsidR="00EA7E20" w:rsidRDefault="00EA7E20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3666F8" w:rsidRDefault="003666F8" w:rsidP="003666F8"/>
    <w:p w:rsidR="003666F8" w:rsidRDefault="003666F8" w:rsidP="003666F8"/>
    <w:p w:rsidR="004B7584" w:rsidRDefault="004B7584"/>
    <w:sectPr w:rsidR="004B7584" w:rsidSect="00862252">
      <w:pgSz w:w="11906" w:h="16838"/>
      <w:pgMar w:top="1134" w:right="170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8"/>
    <w:rsid w:val="003666F8"/>
    <w:rsid w:val="004B7584"/>
    <w:rsid w:val="00583450"/>
    <w:rsid w:val="00862252"/>
    <w:rsid w:val="00BE2E0B"/>
    <w:rsid w:val="00E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66F8"/>
    <w:rPr>
      <w:b/>
      <w:bCs/>
    </w:rPr>
  </w:style>
  <w:style w:type="paragraph" w:styleId="a4">
    <w:name w:val="Normal (Web)"/>
    <w:basedOn w:val="a"/>
    <w:rsid w:val="003666F8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66F8"/>
    <w:rPr>
      <w:b/>
      <w:bCs/>
    </w:rPr>
  </w:style>
  <w:style w:type="paragraph" w:styleId="a4">
    <w:name w:val="Normal (Web)"/>
    <w:basedOn w:val="a"/>
    <w:rsid w:val="003666F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Костяева Юлия Сергеевна</cp:lastModifiedBy>
  <cp:revision>3</cp:revision>
  <dcterms:created xsi:type="dcterms:W3CDTF">2015-02-06T10:51:00Z</dcterms:created>
  <dcterms:modified xsi:type="dcterms:W3CDTF">2015-02-06T11:02:00Z</dcterms:modified>
</cp:coreProperties>
</file>